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附件2:PLM系统验收标准</w:t>
      </w:r>
    </w:p>
    <w:p>
      <w:pPr>
        <w:spacing w:before="120" w:after="120" w:line="288" w:lineRule="auto"/>
        <w:ind w:left="0" w:firstLine="0"/>
        <w:jc w:val="left"/>
      </w:pPr>
      <w:r>
        <w:rPr>
          <w:rFonts w:eastAsia="等线" w:ascii="Arial" w:cs="Arial" w:hAnsi="Arial"/>
          <w:b w:val="true"/>
          <w:sz w:val="22"/>
        </w:rPr>
        <w:t>PLM系统验收标准</w:t>
      </w:r>
    </w:p>
    <w:p>
      <w:pPr>
        <w:pStyle w:val="4"/>
        <w:spacing w:before="260" w:after="120" w:line="288" w:lineRule="auto"/>
        <w:ind w:left="0"/>
        <w:jc w:val="left"/>
        <w:outlineLvl w:val="3"/>
      </w:pPr>
      <w:bookmarkStart w:name="heading_0" w:id="0"/>
      <w:r>
        <w:rPr>
          <w:rFonts w:eastAsia="等线" w:ascii="Arial" w:cs="Arial" w:hAnsi="Arial"/>
          <w:b w:val="true"/>
          <w:sz w:val="28"/>
        </w:rPr>
        <w:t>一、 总则</w:t>
      </w:r>
      <w:bookmarkEnd w:id="0"/>
    </w:p>
    <w:p>
      <w:pPr>
        <w:numPr>
          <w:numId w:val="1"/>
        </w:numPr>
        <w:spacing w:before="120" w:after="120" w:line="288" w:lineRule="auto"/>
        <w:ind w:left="0"/>
        <w:jc w:val="left"/>
      </w:pPr>
      <w:r>
        <w:rPr>
          <w:rFonts w:eastAsia="等线" w:ascii="Arial" w:cs="Arial" w:hAnsi="Arial"/>
          <w:b w:val="true"/>
          <w:sz w:val="22"/>
        </w:rPr>
        <w:t>验收目的</w:t>
      </w:r>
      <w:r>
        <w:rPr>
          <w:rFonts w:eastAsia="等线" w:ascii="Arial" w:cs="Arial" w:hAnsi="Arial"/>
          <w:sz w:val="22"/>
        </w:rPr>
        <w:t>：本文件作为PLM系统项目最终验收的依据，确保乙方（中标实施方）交付的软件系统、实施服务及成果符合甲方（招标方）在招标文件及合同中的要求。</w:t>
      </w:r>
    </w:p>
    <w:p>
      <w:pPr>
        <w:numPr>
          <w:numId w:val="2"/>
        </w:numPr>
        <w:spacing w:before="120" w:after="120" w:line="288" w:lineRule="auto"/>
        <w:ind w:left="0"/>
        <w:jc w:val="left"/>
      </w:pPr>
      <w:r>
        <w:rPr>
          <w:rFonts w:eastAsia="等线" w:ascii="Arial" w:cs="Arial" w:hAnsi="Arial"/>
          <w:b w:val="true"/>
          <w:sz w:val="22"/>
        </w:rPr>
        <w:t>验收前提</w:t>
      </w:r>
      <w:r>
        <w:rPr>
          <w:rFonts w:eastAsia="等线" w:ascii="Arial" w:cs="Arial" w:hAnsi="Arial"/>
          <w:sz w:val="22"/>
        </w:rPr>
        <w:t>：</w:t>
      </w:r>
    </w:p>
    <w:p>
      <w:pPr>
        <w:numPr>
          <w:numId w:val="3"/>
        </w:numPr>
        <w:spacing w:before="120" w:after="120" w:line="288" w:lineRule="auto"/>
        <w:ind w:left="453"/>
        <w:jc w:val="left"/>
      </w:pPr>
      <w:r>
        <w:rPr>
          <w:rFonts w:eastAsia="等线" w:ascii="Arial" w:cs="Arial" w:hAnsi="Arial"/>
          <w:sz w:val="22"/>
        </w:rPr>
        <w:t>系统所有合同约定的功能模块已完成开发、配置与部署。</w:t>
      </w:r>
    </w:p>
    <w:p>
      <w:pPr>
        <w:numPr>
          <w:numId w:val="4"/>
        </w:numPr>
        <w:spacing w:before="120" w:after="120" w:line="288" w:lineRule="auto"/>
        <w:ind w:left="453"/>
        <w:jc w:val="left"/>
      </w:pPr>
      <w:r>
        <w:rPr>
          <w:rFonts w:eastAsia="等线" w:ascii="Arial" w:cs="Arial" w:hAnsi="Arial"/>
          <w:sz w:val="22"/>
        </w:rPr>
        <w:t>系统已在甲方生产环境稳定运行，并通过了至少【例如：1个月】的试运行期，关键业务流程得到充分验证。</w:t>
      </w:r>
    </w:p>
    <w:p>
      <w:pPr>
        <w:numPr>
          <w:numId w:val="5"/>
        </w:numPr>
        <w:spacing w:before="120" w:after="120" w:line="288" w:lineRule="auto"/>
        <w:ind w:left="453"/>
        <w:jc w:val="left"/>
      </w:pPr>
      <w:r>
        <w:rPr>
          <w:rFonts w:eastAsia="等线" w:ascii="Arial" w:cs="Arial" w:hAnsi="Arial"/>
          <w:sz w:val="22"/>
        </w:rPr>
        <w:t>所有合同规定的数据迁移、用户培训、系统文档交付工作已完成。</w:t>
      </w:r>
    </w:p>
    <w:p>
      <w:pPr>
        <w:numPr>
          <w:numId w:val="6"/>
        </w:numPr>
        <w:spacing w:before="120" w:after="120" w:line="288" w:lineRule="auto"/>
        <w:ind w:left="0"/>
        <w:jc w:val="left"/>
      </w:pPr>
      <w:r>
        <w:rPr>
          <w:rFonts w:eastAsia="等线" w:ascii="Arial" w:cs="Arial" w:hAnsi="Arial"/>
          <w:b w:val="true"/>
          <w:sz w:val="22"/>
        </w:rPr>
        <w:t>验收方式</w:t>
      </w:r>
      <w:r>
        <w:rPr>
          <w:rFonts w:eastAsia="等线" w:ascii="Arial" w:cs="Arial" w:hAnsi="Arial"/>
          <w:sz w:val="22"/>
        </w:rPr>
        <w:t>：采取</w:t>
      </w:r>
      <w:r>
        <w:rPr>
          <w:rFonts w:eastAsia="等线" w:ascii="Arial" w:cs="Arial" w:hAnsi="Arial"/>
          <w:b w:val="true"/>
          <w:sz w:val="22"/>
        </w:rPr>
        <w:t>文档审核、系统演示、功能测试、业务流程验证、性能测试及用户确认</w:t>
      </w:r>
      <w:r>
        <w:rPr>
          <w:rFonts w:eastAsia="等线" w:ascii="Arial" w:cs="Arial" w:hAnsi="Arial"/>
          <w:sz w:val="22"/>
        </w:rPr>
        <w:t>相结合的方式进行。</w:t>
      </w:r>
    </w:p>
    <w:p>
      <w:pPr>
        <w:pStyle w:val="4"/>
        <w:spacing w:before="260" w:after="120" w:line="288" w:lineRule="auto"/>
        <w:ind w:left="0"/>
        <w:jc w:val="left"/>
        <w:outlineLvl w:val="3"/>
      </w:pPr>
      <w:bookmarkStart w:name="heading_1" w:id="1"/>
      <w:r>
        <w:rPr>
          <w:rFonts w:eastAsia="等线" w:ascii="Arial" w:cs="Arial" w:hAnsi="Arial"/>
          <w:b w:val="true"/>
          <w:sz w:val="28"/>
        </w:rPr>
        <w:t>二、 分阶段验收里程碑</w:t>
      </w:r>
      <w:bookmarkEnd w:id="1"/>
    </w:p>
    <w:p>
      <w:pPr>
        <w:numPr>
          <w:numId w:val="7"/>
        </w:numPr>
        <w:spacing w:before="120" w:after="120" w:line="288" w:lineRule="auto"/>
        <w:ind w:left="0"/>
        <w:jc w:val="left"/>
      </w:pPr>
      <w:r>
        <w:rPr>
          <w:rFonts w:eastAsia="等线" w:ascii="Arial" w:cs="Arial" w:hAnsi="Arial"/>
          <w:b w:val="true"/>
          <w:sz w:val="22"/>
        </w:rPr>
        <w:t>第一阶段：系统部署与原型验证</w:t>
      </w:r>
    </w:p>
    <w:p>
      <w:pPr>
        <w:numPr>
          <w:numId w:val="8"/>
        </w:numPr>
        <w:spacing w:before="120" w:after="120" w:line="288" w:lineRule="auto"/>
        <w:ind w:left="453"/>
        <w:jc w:val="left"/>
      </w:pPr>
      <w:r>
        <w:rPr>
          <w:rFonts w:eastAsia="等线" w:ascii="Arial" w:cs="Arial" w:hAnsi="Arial"/>
          <w:b w:val="true"/>
          <w:sz w:val="22"/>
        </w:rPr>
        <w:t>验收项</w:t>
      </w:r>
      <w:r>
        <w:rPr>
          <w:rFonts w:eastAsia="等线" w:ascii="Arial" w:cs="Arial" w:hAnsi="Arial"/>
          <w:sz w:val="22"/>
        </w:rPr>
        <w:t>：系统软硬件环境部署完成；基础平台（用户、权限、组织）配置完成；主要功能模块（设计管理、图文档、编码）原型演示通过；核心集成方案（SOLIDWORKS接口）技术验证通过。</w:t>
      </w:r>
    </w:p>
    <w:p>
      <w:pPr>
        <w:numPr>
          <w:numId w:val="9"/>
        </w:numPr>
        <w:spacing w:before="120" w:after="120" w:line="288" w:lineRule="auto"/>
        <w:ind w:left="0"/>
        <w:jc w:val="left"/>
      </w:pPr>
      <w:r>
        <w:rPr>
          <w:rFonts w:eastAsia="等线" w:ascii="Arial" w:cs="Arial" w:hAnsi="Arial"/>
          <w:b w:val="true"/>
          <w:sz w:val="22"/>
        </w:rPr>
        <w:t>第二阶段：功能模块完成与用户培训</w:t>
      </w:r>
    </w:p>
    <w:p>
      <w:pPr>
        <w:numPr>
          <w:numId w:val="10"/>
        </w:numPr>
        <w:spacing w:before="120" w:after="120" w:line="288" w:lineRule="auto"/>
        <w:ind w:left="453"/>
        <w:jc w:val="left"/>
      </w:pPr>
      <w:r>
        <w:rPr>
          <w:rFonts w:eastAsia="等线" w:ascii="Arial" w:cs="Arial" w:hAnsi="Arial"/>
          <w:b w:val="true"/>
          <w:sz w:val="22"/>
        </w:rPr>
        <w:t>验收项</w:t>
      </w:r>
      <w:r>
        <w:rPr>
          <w:rFonts w:eastAsia="等线" w:ascii="Arial" w:cs="Arial" w:hAnsi="Arial"/>
          <w:sz w:val="22"/>
        </w:rPr>
        <w:t>：所有功能模块（含工艺管理）开发配置完成，并通过我司关键用户的单元测试；全部最终用户培训完成，并通过考核。</w:t>
      </w:r>
    </w:p>
    <w:p>
      <w:pPr>
        <w:numPr>
          <w:numId w:val="11"/>
        </w:numPr>
        <w:spacing w:before="120" w:after="120" w:line="288" w:lineRule="auto"/>
        <w:ind w:left="0"/>
        <w:jc w:val="left"/>
      </w:pPr>
      <w:r>
        <w:rPr>
          <w:rFonts w:eastAsia="等线" w:ascii="Arial" w:cs="Arial" w:hAnsi="Arial"/>
          <w:b w:val="true"/>
          <w:sz w:val="22"/>
        </w:rPr>
        <w:t>第三阶段：系统集成完成与上线试运行</w:t>
      </w:r>
    </w:p>
    <w:p>
      <w:pPr>
        <w:numPr>
          <w:numId w:val="12"/>
        </w:numPr>
        <w:spacing w:before="120" w:after="120" w:line="288" w:lineRule="auto"/>
        <w:ind w:left="453"/>
        <w:jc w:val="left"/>
      </w:pPr>
      <w:r>
        <w:rPr>
          <w:rFonts w:eastAsia="等线" w:ascii="Arial" w:cs="Arial" w:hAnsi="Arial"/>
          <w:b w:val="true"/>
          <w:sz w:val="22"/>
        </w:rPr>
        <w:t>验收项</w:t>
      </w:r>
      <w:r>
        <w:rPr>
          <w:rFonts w:eastAsia="等线" w:ascii="Arial" w:cs="Arial" w:hAnsi="Arial"/>
          <w:sz w:val="22"/>
        </w:rPr>
        <w:t>：与SOLIDWORKS、用友ERP的集成接口开发（按照实际双方验收通过共识完成）、联调测试完成，数据传递准确无误；系统正式上线，开始试运行。</w:t>
      </w:r>
    </w:p>
    <w:p>
      <w:pPr>
        <w:numPr>
          <w:numId w:val="13"/>
        </w:numPr>
        <w:spacing w:before="120" w:after="120" w:line="288" w:lineRule="auto"/>
        <w:ind w:left="0"/>
        <w:jc w:val="left"/>
      </w:pPr>
      <w:r>
        <w:rPr>
          <w:rFonts w:eastAsia="等线" w:ascii="Arial" w:cs="Arial" w:hAnsi="Arial"/>
          <w:b w:val="true"/>
          <w:sz w:val="22"/>
        </w:rPr>
        <w:t>第四阶段：最终验收</w:t>
      </w:r>
    </w:p>
    <w:p>
      <w:pPr>
        <w:numPr>
          <w:numId w:val="14"/>
        </w:numPr>
        <w:spacing w:before="120" w:after="120" w:line="288" w:lineRule="auto"/>
        <w:ind w:left="453"/>
        <w:jc w:val="left"/>
      </w:pPr>
      <w:r>
        <w:rPr>
          <w:rFonts w:eastAsia="等线" w:ascii="Arial" w:cs="Arial" w:hAnsi="Arial"/>
          <w:b w:val="true"/>
          <w:sz w:val="22"/>
        </w:rPr>
        <w:t>验收项</w:t>
      </w:r>
      <w:r>
        <w:rPr>
          <w:rFonts w:eastAsia="等线" w:ascii="Arial" w:cs="Arial" w:hAnsi="Arial"/>
          <w:sz w:val="22"/>
        </w:rPr>
        <w:t>：试运行期间问题已解决；系统性能与安全达标；所有交付物齐备；达到合同规定的全部要求。</w:t>
      </w:r>
    </w:p>
    <w:p>
      <w:pPr>
        <w:pStyle w:val="4"/>
        <w:spacing w:before="260" w:after="120" w:line="288" w:lineRule="auto"/>
        <w:ind w:left="0"/>
        <w:jc w:val="left"/>
        <w:outlineLvl w:val="3"/>
      </w:pPr>
      <w:bookmarkStart w:name="heading_2" w:id="2"/>
      <w:r>
        <w:rPr>
          <w:rFonts w:eastAsia="等线" w:ascii="Arial" w:cs="Arial" w:hAnsi="Arial"/>
          <w:b w:val="true"/>
          <w:sz w:val="28"/>
        </w:rPr>
        <w:t>三、 详细功能与性能验收清单</w:t>
      </w:r>
      <w:bookmarkEnd w:id="2"/>
    </w:p>
    <w:p>
      <w:pPr>
        <w:spacing w:before="120" w:after="120" w:line="288" w:lineRule="auto"/>
        <w:ind w:left="0" w:firstLine="0"/>
        <w:jc w:val="left"/>
      </w:pPr>
      <w:r>
        <w:rPr>
          <w:rFonts w:eastAsia="等线" w:ascii="Arial" w:cs="Arial" w:hAnsi="Arial"/>
          <w:b w:val="true"/>
          <w:sz w:val="22"/>
        </w:rPr>
        <w:t>（一）设计数据管理模块</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510"/>
        <w:gridCol w:w="1005"/>
        <w:gridCol w:w="4995"/>
        <w:gridCol w:w="1785"/>
      </w:tblGrid>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序号</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验收项目</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验收要求与标准</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验证方法</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1.1</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零部件管理</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成功建立至少</w:t>
            </w:r>
            <w:r>
              <w:rPr>
                <w:rFonts w:eastAsia="等线" w:ascii="Arial" w:cs="Arial" w:hAnsi="Arial"/>
                <w:sz w:val="22"/>
              </w:rPr>
              <w:t>4</w:t>
            </w:r>
            <w:r>
              <w:rPr>
                <w:rFonts w:eastAsia="等线" w:ascii="Arial" w:cs="Arial" w:hAnsi="Arial"/>
                <w:sz w:val="22"/>
              </w:rPr>
              <w:t>层分类结构，并能分类检索。</w:t>
              <w:br/>
              <w:t>2. 实现零件的创建、版本升版、状态流转（工作中-&gt;审核中-&gt;发布）。</w:t>
              <w:br/>
            </w:r>
            <w:r>
              <w:rPr>
                <w:rFonts w:eastAsia="等线" w:ascii="Arial" w:cs="Arial" w:hAnsi="Arial"/>
                <w:sz w:val="22"/>
              </w:rPr>
              <w:t>3. 能进行零件借用关系查询与影响范围分析。</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现测试用例执行</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1.2</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BOM管理</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从SOLIDWORKS装配体直接生成EBOM，数据准确。</w:t>
              <w:br/>
              <w:t>2. EBOM可进行多视图管理及版本比较。</w:t>
              <w:br/>
            </w:r>
            <w:r>
              <w:rPr>
                <w:rFonts w:eastAsia="等线" w:ascii="Arial" w:cs="Arial" w:hAnsi="Arial"/>
                <w:sz w:val="22"/>
              </w:rPr>
              <w:t>3. 支持通过Excel模板批量导入/导出BOM。</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典型产品</w:t>
            </w:r>
            <w:r>
              <w:rPr>
                <w:rFonts w:eastAsia="等线" w:ascii="Arial" w:cs="Arial" w:hAnsi="Arial"/>
                <w:sz w:val="22"/>
              </w:rPr>
              <w:t>集成演示、数据核对</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1.3</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图文档管理</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支持各类文档上传、版本控制、在线预览（无需安装CAD）。</w:t>
              <w:br/>
              <w:t>2. 实现图纸与零件的关联管理。</w:t>
              <w:br/>
            </w:r>
            <w:r>
              <w:rPr>
                <w:rFonts w:eastAsia="等线" w:ascii="Arial" w:cs="Arial" w:hAnsi="Arial"/>
                <w:sz w:val="22"/>
              </w:rPr>
              <w:t>3. 支持文档的圈阅批注功能。</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典型产品</w:t>
            </w:r>
            <w:r>
              <w:rPr>
                <w:rFonts w:eastAsia="等线" w:ascii="Arial" w:cs="Arial" w:hAnsi="Arial"/>
                <w:sz w:val="22"/>
              </w:rPr>
              <w:t>操作测试</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1.4</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编码管理</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根据甲方提供的编码规则，成功在系统中配置出至少</w:t>
            </w:r>
            <w:r>
              <w:rPr>
                <w:rFonts w:eastAsia="等线" w:ascii="Arial" w:cs="Arial" w:hAnsi="Arial"/>
                <w:sz w:val="22"/>
              </w:rPr>
              <w:t>5</w:t>
            </w:r>
            <w:r>
              <w:rPr>
                <w:rFonts w:eastAsia="等线" w:ascii="Arial" w:cs="Arial" w:hAnsi="Arial"/>
                <w:sz w:val="22"/>
              </w:rPr>
              <w:t>套编码器。</w:t>
              <w:br/>
              <w:t>2. 通过流程申请的编码符合规则，且无重码、错码。</w:t>
              <w:br/>
            </w:r>
            <w:r>
              <w:rPr>
                <w:rFonts w:eastAsia="等线" w:ascii="Arial" w:cs="Arial" w:hAnsi="Arial"/>
                <w:sz w:val="22"/>
              </w:rPr>
              <w:t>3. 支持批量编码生成并与物料/文档自动绑定。</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提供配置截图，并现场生成至少100个编码进行验证</w:t>
            </w:r>
          </w:p>
        </w:tc>
      </w:tr>
    </w:tbl>
    <w:p>
      <w:pPr>
        <w:spacing w:before="120" w:after="120" w:line="288" w:lineRule="auto"/>
        <w:ind w:left="0" w:firstLine="0"/>
        <w:jc w:val="left"/>
      </w:pPr>
      <w:r>
        <w:rPr>
          <w:rFonts w:eastAsia="等线" w:ascii="Arial" w:cs="Arial" w:hAnsi="Arial"/>
          <w:b w:val="true"/>
          <w:sz w:val="22"/>
        </w:rPr>
        <w:t>（二）工艺管理模块</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510"/>
        <w:gridCol w:w="1005"/>
        <w:gridCol w:w="4995"/>
        <w:gridCol w:w="1785"/>
      </w:tblGrid>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序号</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验收项目</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验收要求与标准</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验证方法</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2.1</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结构化工艺</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能够基于PBOM，创建包含工序、工步、资源、工时、材料的完整结构化工艺路线。</w:t>
              <w:br/>
            </w:r>
            <w:r>
              <w:rPr>
                <w:rFonts w:eastAsia="等线" w:ascii="Arial" w:cs="Arial" w:hAnsi="Arial"/>
                <w:sz w:val="22"/>
              </w:rPr>
              <w:t>2. 工艺数据为结构化存储，可被查询、统计和传递至ERP。</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使用我司典型产品实现工艺编制</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2.2</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工艺输出</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能够根据模板，输出标准格式的工艺过程卡、工序卡。</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输出纸质或PDF文件与模板比对</w:t>
            </w:r>
          </w:p>
        </w:tc>
      </w:tr>
    </w:tbl>
    <w:p>
      <w:pPr>
        <w:spacing w:before="120" w:after="120" w:line="288" w:lineRule="auto"/>
        <w:ind w:left="0" w:firstLine="0"/>
        <w:jc w:val="left"/>
      </w:pPr>
      <w:r>
        <w:rPr>
          <w:rFonts w:eastAsia="等线" w:ascii="Arial" w:cs="Arial" w:hAnsi="Arial"/>
          <w:b w:val="true"/>
          <w:sz w:val="22"/>
        </w:rPr>
        <w:t>（三）工作流与电子签名</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510"/>
        <w:gridCol w:w="1005"/>
        <w:gridCol w:w="4995"/>
        <w:gridCol w:w="1785"/>
      </w:tblGrid>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序号</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验收项目</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验收要求与标准</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验证方法</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3.1</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工作流</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已配置完成图纸发布、工程变更等核心业务流程。</w:t>
              <w:br/>
            </w:r>
            <w:r>
              <w:rPr>
                <w:rFonts w:eastAsia="等线" w:ascii="Arial" w:cs="Arial" w:hAnsi="Arial"/>
                <w:sz w:val="22"/>
              </w:rPr>
              <w:t>2. 流程支持串签、并签、退回、条件分支等。</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现场运行一个完整流程</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3.2</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电子签名</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审批环节必须使用电子签名完成。</w:t>
              <w:br/>
              <w:t>2. 签名后的PDF文件（或系统内文件）带有不可篡改的签名标识，包含签名人、签名时间。</w:t>
              <w:br/>
            </w:r>
            <w:r>
              <w:rPr>
                <w:rFonts w:eastAsia="等线" w:ascii="Arial" w:cs="Arial" w:hAnsi="Arial"/>
                <w:sz w:val="22"/>
              </w:rPr>
              <w:t>3. 符合《电子签名法》对可靠电子签名的要求（可选，如甲方有此需求）。</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检查已发布文件的签名信息，并验证其法律有效性（如需）​</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3.3</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自动转PDF与发布</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后台服务能自动将指定的DWG、SLDPRT等源文件转换为PDF。</w:t>
              <w:br/>
              <w:t>2. 发布的PDF文件与源文件版本关联，且为只读状态。</w:t>
              <w:br/>
            </w:r>
            <w:r>
              <w:rPr>
                <w:rFonts w:eastAsia="等线" w:ascii="Arial" w:cs="Arial" w:hAnsi="Arial"/>
                <w:sz w:val="22"/>
              </w:rPr>
              <w:t>3. 能创建一个包含图纸、BOM、工艺文件的“发布包”，并冻结状态。</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执行一次完整的“设计-审批-自动转PDF-发布打包”端到端流程</w:t>
            </w:r>
          </w:p>
        </w:tc>
      </w:tr>
    </w:tbl>
    <w:p>
      <w:pPr>
        <w:spacing w:before="120" w:after="120" w:line="288" w:lineRule="auto"/>
        <w:ind w:left="0" w:firstLine="0"/>
        <w:jc w:val="left"/>
      </w:pPr>
      <w:r>
        <w:rPr>
          <w:rFonts w:eastAsia="等线" w:ascii="Arial" w:cs="Arial" w:hAnsi="Arial"/>
          <w:b w:val="true"/>
          <w:sz w:val="22"/>
        </w:rPr>
        <w:t>（四）系统集成验收（关键项）</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510"/>
        <w:gridCol w:w="1005"/>
        <w:gridCol w:w="4995"/>
        <w:gridCol w:w="1785"/>
      </w:tblGrid>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序号</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验收项目</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验收要求与标准</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验证方法</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4.1</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与SOLIDWORKS集成</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在SOLIDWORKS内能直接登录PLM，进行数据检入/检出、属性填写。</w:t>
              <w:br/>
              <w:t>2. 从装配体保存时，能自动在PLM中生成或更新零件、BOM结构，数据无丢失。</w:t>
              <w:br/>
            </w:r>
            <w:r>
              <w:rPr>
                <w:rFonts w:eastAsia="等线" w:ascii="Arial" w:cs="Arial" w:hAnsi="Arial"/>
                <w:sz w:val="22"/>
              </w:rPr>
              <w:t>3. 支持三维轻量化模型的在线浏览。</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在SOLIDWORKS环境中现场操作一个完整装配体的设计、保存、发布流程</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4.2</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与用友ERP集成</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在PLM中发布物料、BOM、工艺路线后，能按约定方式（如：接口表、Web Service）准确传递至用友ERP指定模块。</w:t>
              <w:br/>
            </w:r>
            <w:r>
              <w:rPr>
                <w:rFonts w:eastAsia="等线" w:ascii="Arial" w:cs="Arial" w:hAnsi="Arial"/>
                <w:sz w:val="22"/>
              </w:rPr>
              <w:t>2. 需验证至少</w:t>
            </w:r>
            <w:r>
              <w:rPr>
                <w:rFonts w:eastAsia="等线" w:ascii="Arial" w:cs="Arial" w:hAnsi="Arial"/>
                <w:sz w:val="22"/>
              </w:rPr>
              <w:t>2</w:t>
            </w:r>
            <w:r>
              <w:rPr>
                <w:rFonts w:eastAsia="等线" w:ascii="Arial" w:cs="Arial" w:hAnsi="Arial"/>
                <w:sz w:val="22"/>
              </w:rPr>
              <w:t>个包含多层BOM和工艺路路的完整产品数据，在ERP中接收结果100%准确。</w:t>
              <w:br/>
            </w:r>
            <w:r>
              <w:rPr>
                <w:rFonts w:eastAsia="等线" w:ascii="Arial" w:cs="Arial" w:hAnsi="Arial"/>
                <w:sz w:val="22"/>
              </w:rPr>
              <w:t>3. 集成方案稳定，支持错误数据处理与日志追溯。</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双方系统联机，执行端到端数据同步测试，并比对PLM与ERP中的数据</w:t>
            </w:r>
          </w:p>
        </w:tc>
      </w:tr>
    </w:tbl>
    <w:p>
      <w:pPr>
        <w:spacing w:before="120" w:after="120" w:line="288" w:lineRule="auto"/>
        <w:ind w:left="0" w:firstLine="0"/>
        <w:jc w:val="left"/>
      </w:pPr>
      <w:r>
        <w:rPr>
          <w:rFonts w:eastAsia="等线" w:ascii="Arial" w:cs="Arial" w:hAnsi="Arial"/>
          <w:b w:val="true"/>
          <w:sz w:val="22"/>
        </w:rPr>
        <w:t>（五）系统性能与安全性</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510"/>
        <w:gridCol w:w="1005"/>
        <w:gridCol w:w="4995"/>
        <w:gridCol w:w="1785"/>
      </w:tblGrid>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序号</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验收项目</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验收要求与标准</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b w:val="true"/>
                <w:sz w:val="22"/>
              </w:rPr>
              <w:t>验证方法</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5.1</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性能</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在【</w:t>
            </w:r>
            <w:r>
              <w:rPr>
                <w:rFonts w:eastAsia="等线" w:ascii="Arial" w:cs="Arial" w:hAnsi="Arial"/>
                <w:sz w:val="22"/>
              </w:rPr>
              <w:t>4</w:t>
            </w:r>
            <w:r>
              <w:rPr>
                <w:rFonts w:eastAsia="等线" w:ascii="Arial" w:cs="Arial" w:hAnsi="Arial"/>
                <w:sz w:val="22"/>
              </w:rPr>
              <w:t>0】个并发用户压力下，关键页面（如BOM打开、文档检索）平均响应时间&lt;3秒。</w:t>
              <w:br/>
            </w:r>
            <w:r>
              <w:rPr>
                <w:rFonts w:eastAsia="等线" w:ascii="Arial" w:cs="Arial" w:hAnsi="Arial"/>
                <w:sz w:val="22"/>
              </w:rPr>
              <w:t>2. 系统支持7x24小时稳定运行，试运行期间无重大故障（累计宕机时间&lt;4小时）。</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提供性能测试报告，审查试运行期运维记录</w:t>
            </w:r>
          </w:p>
        </w:tc>
      </w:tr>
      <w:tr>
        <w:tc>
          <w:tcPr>
            <w:tcW w:w="510"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5.2</w:t>
            </w:r>
          </w:p>
        </w:tc>
        <w:tc>
          <w:tcPr>
            <w:tcW w:w="100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安全性</w:t>
            </w:r>
          </w:p>
        </w:tc>
        <w:tc>
          <w:tcPr>
            <w:tcW w:w="499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1. 权限体系能按角色、组织、项目进行细粒度控制，验证无越权访问。</w:t>
              <w:br/>
            </w:r>
            <w:r>
              <w:rPr>
                <w:rFonts w:eastAsia="等线" w:ascii="Arial" w:cs="Arial" w:hAnsi="Arial"/>
                <w:sz w:val="22"/>
              </w:rPr>
              <w:t>2. 所有关键操作有完整日志记录，可供审计。</w:t>
            </w:r>
          </w:p>
        </w:tc>
        <w:tc>
          <w:tcPr>
            <w:tcW w:w="1785" w:type="dxa"/>
            <w:tcMar>
              <w:top w:type="dxa" w:w="60"/>
              <w:left w:type="dxa" w:w="120"/>
              <w:bottom w:type="dxa" w:w="30"/>
              <w:right w:type="dxa" w:w="120"/>
            </w:tcMar>
          </w:tcPr>
          <w:p>
            <w:pPr>
              <w:spacing w:before="120" w:after="120" w:line="288" w:lineRule="auto"/>
              <w:ind w:left="0"/>
              <w:jc w:val="center"/>
            </w:pPr>
            <w:r>
              <w:rPr>
                <w:rFonts w:eastAsia="等线" w:ascii="Arial" w:cs="Arial" w:hAnsi="Arial"/>
                <w:sz w:val="22"/>
              </w:rPr>
              <w:t>现场进行权限测试，审查审计日志功能</w:t>
            </w:r>
          </w:p>
        </w:tc>
      </w:tr>
    </w:tbl>
    <w:p>
      <w:pPr>
        <w:pStyle w:val="4"/>
        <w:spacing w:before="260" w:after="120" w:line="288" w:lineRule="auto"/>
        <w:ind w:left="0"/>
        <w:jc w:val="left"/>
        <w:outlineLvl w:val="3"/>
      </w:pPr>
      <w:bookmarkStart w:name="heading_3" w:id="3"/>
      <w:r>
        <w:rPr>
          <w:rFonts w:eastAsia="等线" w:ascii="Arial" w:cs="Arial" w:hAnsi="Arial"/>
          <w:b w:val="true"/>
          <w:sz w:val="28"/>
        </w:rPr>
        <w:t>四、 交付物验收</w:t>
      </w:r>
      <w:bookmarkEnd w:id="3"/>
    </w:p>
    <w:p>
      <w:pPr>
        <w:numPr>
          <w:numId w:val="15"/>
        </w:numPr>
        <w:spacing w:before="120" w:after="120" w:line="288" w:lineRule="auto"/>
        <w:ind w:left="0"/>
        <w:jc w:val="left"/>
      </w:pPr>
      <w:r>
        <w:rPr>
          <w:rFonts w:eastAsia="等线" w:ascii="Arial" w:cs="Arial" w:hAnsi="Arial"/>
          <w:b w:val="true"/>
          <w:sz w:val="22"/>
        </w:rPr>
        <w:t>文档交付</w:t>
      </w:r>
      <w:r>
        <w:rPr>
          <w:rFonts w:eastAsia="等线" w:ascii="Arial" w:cs="Arial" w:hAnsi="Arial"/>
          <w:sz w:val="22"/>
        </w:rPr>
        <w:t>：乙方需交付完整的《系统部署手册》、《系统管理员手册》、《最终用户操作手册》、《系统设计及接口规范说明书》、《项目终验报告》。</w:t>
      </w:r>
    </w:p>
    <w:p>
      <w:pPr>
        <w:numPr>
          <w:numId w:val="16"/>
        </w:numPr>
        <w:spacing w:before="120" w:after="120" w:line="288" w:lineRule="auto"/>
        <w:ind w:left="0"/>
        <w:jc w:val="left"/>
      </w:pPr>
      <w:r>
        <w:rPr>
          <w:rFonts w:eastAsia="等线" w:ascii="Arial" w:cs="Arial" w:hAnsi="Arial"/>
          <w:b w:val="true"/>
          <w:sz w:val="22"/>
        </w:rPr>
        <w:t>培训验收</w:t>
      </w:r>
      <w:r>
        <w:rPr>
          <w:rFonts w:eastAsia="等线" w:ascii="Arial" w:cs="Arial" w:hAnsi="Arial"/>
          <w:sz w:val="22"/>
        </w:rPr>
        <w:t>：甲方项目组及关键用户确认已接受充分培训，并能独立操作系统完成日常工作。</w:t>
      </w:r>
    </w:p>
    <w:p>
      <w:pPr>
        <w:numPr>
          <w:numId w:val="17"/>
        </w:numPr>
        <w:spacing w:before="120" w:after="120" w:line="288" w:lineRule="auto"/>
        <w:ind w:left="0"/>
        <w:jc w:val="left"/>
      </w:pPr>
      <w:r>
        <w:rPr>
          <w:rFonts w:eastAsia="等线" w:ascii="Arial" w:cs="Arial" w:hAnsi="Arial"/>
          <w:b w:val="true"/>
          <w:sz w:val="22"/>
        </w:rPr>
        <w:t>源代码及安装介质</w:t>
      </w:r>
      <w:r>
        <w:rPr>
          <w:rFonts w:eastAsia="等线" w:ascii="Arial" w:cs="Arial" w:hAnsi="Arial"/>
          <w:sz w:val="22"/>
        </w:rPr>
        <w:t>：按合同约定交付所有系统安装程序、配置文档、二次开发源代码（如有）。</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w:p w:rsidP="" w:rsidRDefault="">
    <w:pPr>
      <w:pStyle w:val="Header"/>
    </w:pPr>
    <w:r>
      <w:rPr>
        <w:noProof/>
      </w:rPr>
      <w:pict>
        <v:shapetype id="_x0000_t136" coordsize="1600,21600" o:spt="136.0"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shapetype="t" text="t"/>
        </v:shapetype>
        <v:shape id="PowerPlusWaterMarkObject1" o:spid="_x0000_s1025" type="#_x0000_t136" style="position:absolute;left:0;text-align:left;margin-left:0;margin-top:0;height:24pt;rotation:315;z-index:-251651072;mso-wrap-edited:f;mso-width-percent:0;mso-height-percent:0;mso-position-horizontal:center;mso-position-horizontal-relative:margin;mso-position-vertical:center;mso-position-vertical-relative:margin;mso-width-percent:0;mso-height-percent:0;width:120pt" wrapcoords="616 5068 390 16297 39 16921 -39 17155 7265 17545 7186 17467 -39 17467 18904 17467 10507 17467 8710 17545 18904 17077 18787 16843 18358 16297 18279 12554 19178 12476 20701 11774 20779 11228 21131 10059 21248 8811 21248 7563 20975 6316 20935 5380 19490 5146 14022 5068 2616 5068" fillcolor="black" stroked="false">
          <v:textpath style="font-family:Lantinghei SC Demibold;font-size:20pt" string=" 张清风 2128"/>
          <v:fill opacity="0.3"/>
        </v:shape>
      </w:pict>
    </w:r>
  </w:p>
</w:hdr>
</file>

<file path=word/numbering.xml><?xml version="1.0" encoding="utf-8"?>
<w:numbering xmlns:w="http://schemas.openxmlformats.org/wordprocessingml/2006/main">
  <w:abstractNum w:abstractNumId="151596">
    <w:lvl>
      <w:start w:val="1"/>
      <w:numFmt w:val="decimal"/>
      <w:suff w:val="tab"/>
      <w:lvlText w:val="%1."/>
      <w:rPr>
        <w:color w:val="3370ff"/>
      </w:rPr>
    </w:lvl>
  </w:abstractNum>
  <w:abstractNum w:abstractNumId="151597">
    <w:lvl>
      <w:start w:val="2"/>
      <w:numFmt w:val="decimal"/>
      <w:suff w:val="tab"/>
      <w:lvlText w:val="%1."/>
      <w:rPr>
        <w:color w:val="3370ff"/>
      </w:rPr>
    </w:lvl>
  </w:abstractNum>
  <w:abstractNum w:abstractNumId="151598">
    <w:lvl>
      <w:numFmt w:val="bullet"/>
      <w:suff w:val="tab"/>
      <w:lvlText w:val="￮"/>
      <w:rPr>
        <w:color w:val="3370ff"/>
      </w:rPr>
    </w:lvl>
  </w:abstractNum>
  <w:abstractNum w:abstractNumId="151599">
    <w:lvl>
      <w:numFmt w:val="bullet"/>
      <w:suff w:val="tab"/>
      <w:lvlText w:val="￮"/>
      <w:rPr>
        <w:color w:val="3370ff"/>
      </w:rPr>
    </w:lvl>
  </w:abstractNum>
  <w:abstractNum w:abstractNumId="151600">
    <w:lvl>
      <w:numFmt w:val="bullet"/>
      <w:suff w:val="tab"/>
      <w:lvlText w:val="￮"/>
      <w:rPr>
        <w:color w:val="3370ff"/>
      </w:rPr>
    </w:lvl>
  </w:abstractNum>
  <w:abstractNum w:abstractNumId="151601">
    <w:lvl>
      <w:start w:val="3"/>
      <w:numFmt w:val="decimal"/>
      <w:suff w:val="tab"/>
      <w:lvlText w:val="%1."/>
      <w:rPr>
        <w:color w:val="3370ff"/>
      </w:rPr>
    </w:lvl>
  </w:abstractNum>
  <w:abstractNum w:abstractNumId="151602">
    <w:lvl>
      <w:start w:val="1"/>
      <w:numFmt w:val="decimal"/>
      <w:suff w:val="tab"/>
      <w:lvlText w:val="%1."/>
      <w:rPr>
        <w:color w:val="3370ff"/>
      </w:rPr>
    </w:lvl>
  </w:abstractNum>
  <w:abstractNum w:abstractNumId="151603">
    <w:lvl>
      <w:numFmt w:val="bullet"/>
      <w:suff w:val="tab"/>
      <w:lvlText w:val="￮"/>
      <w:rPr>
        <w:color w:val="3370ff"/>
      </w:rPr>
    </w:lvl>
  </w:abstractNum>
  <w:abstractNum w:abstractNumId="151604">
    <w:lvl>
      <w:start w:val="2"/>
      <w:numFmt w:val="decimal"/>
      <w:suff w:val="tab"/>
      <w:lvlText w:val="%1."/>
      <w:rPr>
        <w:color w:val="3370ff"/>
      </w:rPr>
    </w:lvl>
  </w:abstractNum>
  <w:abstractNum w:abstractNumId="151605">
    <w:lvl>
      <w:numFmt w:val="bullet"/>
      <w:suff w:val="tab"/>
      <w:lvlText w:val="￮"/>
      <w:rPr>
        <w:color w:val="3370ff"/>
      </w:rPr>
    </w:lvl>
  </w:abstractNum>
  <w:abstractNum w:abstractNumId="151606">
    <w:lvl>
      <w:start w:val="3"/>
      <w:numFmt w:val="decimal"/>
      <w:suff w:val="tab"/>
      <w:lvlText w:val="%1."/>
      <w:rPr>
        <w:color w:val="3370ff"/>
      </w:rPr>
    </w:lvl>
  </w:abstractNum>
  <w:abstractNum w:abstractNumId="151607">
    <w:lvl>
      <w:numFmt w:val="bullet"/>
      <w:suff w:val="tab"/>
      <w:lvlText w:val="￮"/>
      <w:rPr>
        <w:color w:val="3370ff"/>
      </w:rPr>
    </w:lvl>
  </w:abstractNum>
  <w:abstractNum w:abstractNumId="151608">
    <w:lvl>
      <w:start w:val="4"/>
      <w:numFmt w:val="decimal"/>
      <w:suff w:val="tab"/>
      <w:lvlText w:val="%1."/>
      <w:rPr>
        <w:color w:val="3370ff"/>
      </w:rPr>
    </w:lvl>
  </w:abstractNum>
  <w:abstractNum w:abstractNumId="151609">
    <w:lvl>
      <w:numFmt w:val="bullet"/>
      <w:suff w:val="tab"/>
      <w:lvlText w:val="￮"/>
      <w:rPr>
        <w:color w:val="3370ff"/>
      </w:rPr>
    </w:lvl>
  </w:abstractNum>
  <w:abstractNum w:abstractNumId="151610">
    <w:lvl>
      <w:start w:val="1"/>
      <w:numFmt w:val="decimal"/>
      <w:suff w:val="tab"/>
      <w:lvlText w:val="%1."/>
      <w:rPr>
        <w:color w:val="3370ff"/>
      </w:rPr>
    </w:lvl>
  </w:abstractNum>
  <w:abstractNum w:abstractNumId="151611">
    <w:lvl>
      <w:start w:val="2"/>
      <w:numFmt w:val="decimal"/>
      <w:suff w:val="tab"/>
      <w:lvlText w:val="%1."/>
      <w:rPr>
        <w:color w:val="3370ff"/>
      </w:rPr>
    </w:lvl>
  </w:abstractNum>
  <w:abstractNum w:abstractNumId="151612">
    <w:lvl>
      <w:start w:val="3"/>
      <w:numFmt w:val="decimal"/>
      <w:suff w:val="tab"/>
      <w:lvlText w:val="%1."/>
      <w:rPr>
        <w:color w:val="3370ff"/>
      </w:rPr>
    </w:lvl>
  </w:abstractNum>
  <w:num w:numId="1">
    <w:abstractNumId w:val="151596"/>
  </w:num>
  <w:num w:numId="2">
    <w:abstractNumId w:val="151597"/>
  </w:num>
  <w:num w:numId="3">
    <w:abstractNumId w:val="151598"/>
  </w:num>
  <w:num w:numId="4">
    <w:abstractNumId w:val="151599"/>
  </w:num>
  <w:num w:numId="5">
    <w:abstractNumId w:val="151600"/>
  </w:num>
  <w:num w:numId="6">
    <w:abstractNumId w:val="151601"/>
  </w:num>
  <w:num w:numId="7">
    <w:abstractNumId w:val="151602"/>
  </w:num>
  <w:num w:numId="8">
    <w:abstractNumId w:val="151603"/>
  </w:num>
  <w:num w:numId="9">
    <w:abstractNumId w:val="151604"/>
  </w:num>
  <w:num w:numId="10">
    <w:abstractNumId w:val="151605"/>
  </w:num>
  <w:num w:numId="11">
    <w:abstractNumId w:val="151606"/>
  </w:num>
  <w:num w:numId="12">
    <w:abstractNumId w:val="151607"/>
  </w:num>
  <w:num w:numId="13">
    <w:abstractNumId w:val="151608"/>
  </w:num>
  <w:num w:numId="14">
    <w:abstractNumId w:val="151609"/>
  </w:num>
  <w:num w:numId="15">
    <w:abstractNumId w:val="151610"/>
  </w:num>
  <w:num w:numId="16">
    <w:abstractNumId w:val="151611"/>
  </w:num>
  <w:num w:numId="17">
    <w:abstractNumId w:val="15161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2026-01-29T09:55:18Z</dcterms:created>
  <dc:creator>Apache POI</dc:creator>
</cp:coreProperties>
</file>