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v="urn:schemas-microsoft-com:vml" xmlns:o="urn:schemas-microsoft-com:office:office" xmlns:r="http://schemas.openxmlformats.org/officeDocument/2006/relationships">
  <w:body>
    <w:p>
      <w:pPr>
        <w:spacing w:before="480" w:after="480" w:line="288" w:lineRule="auto"/>
        <w:ind w:left="0"/>
      </w:pPr>
      <w:r>
        <w:rPr>
          <w:rFonts w:eastAsia="等线" w:ascii="Arial" w:cs="Arial" w:hAnsi="Arial"/>
          <w:b w:val="true"/>
          <w:sz w:val="52"/>
        </w:rPr>
        <w:t>附件1:《CRM系统招标技术要求书》</w:t>
      </w:r>
    </w:p>
    <w:p>
      <w:pPr>
        <w:pStyle w:val="2"/>
        <w:spacing w:before="320" w:after="120" w:line="288" w:lineRule="auto"/>
        <w:ind w:left="0"/>
        <w:jc w:val="left"/>
        <w:outlineLvl w:val="1"/>
      </w:pPr>
      <w:bookmarkStart w:name="heading_0" w:id="0"/>
      <w:r>
        <w:rPr>
          <w:rFonts w:eastAsia="等线" w:ascii="Arial" w:cs="Arial" w:hAnsi="Arial"/>
          <w:b w:val="true"/>
          <w:sz w:val="32"/>
        </w:rPr>
        <w:t>一、项目背景与目标</w:t>
      </w:r>
      <w:bookmarkEnd w:id="0"/>
    </w:p>
    <w:p>
      <w:pPr>
        <w:spacing w:before="120" w:after="120" w:line="288" w:lineRule="auto"/>
        <w:ind w:left="0"/>
        <w:jc w:val="left"/>
      </w:pPr>
      <w:r>
        <w:rPr>
          <w:rFonts w:eastAsia="等线" w:ascii="Arial" w:cs="Arial" w:hAnsi="Arial"/>
          <w:sz w:val="22"/>
        </w:rPr>
        <w:t>公司目前使用的CRM系统因在多语种支持、海外访问速度、AI智能化程度及商机流程自动化方面存在局限，已无法满足公司全球化业务拓展需求。现发起公开招标，旨在替换为一套具备高可用性、强AI辅助能力、全球化部署的新一代外贸CRM系统，实现从线索获取到订单交付的全链路数字化闭环。</w:t>
      </w:r>
    </w:p>
    <w:p>
      <w:pPr>
        <w:pStyle w:val="2"/>
        <w:spacing w:before="320" w:after="120" w:line="288" w:lineRule="auto"/>
        <w:ind w:left="0"/>
        <w:jc w:val="left"/>
        <w:outlineLvl w:val="1"/>
      </w:pPr>
      <w:bookmarkStart w:name="heading_1" w:id="1"/>
      <w:r>
        <w:rPr>
          <w:rFonts w:eastAsia="等线" w:ascii="Arial" w:cs="Arial" w:hAnsi="Arial"/>
          <w:b w:val="true"/>
          <w:sz w:val="32"/>
        </w:rPr>
        <w:t>二、资质与合规要求</w:t>
      </w:r>
      <w:bookmarkEnd w:id="1"/>
    </w:p>
    <w:p>
      <w:pPr>
        <w:numPr>
          <w:numId w:val="1"/>
        </w:numPr>
        <w:spacing w:before="120" w:after="120" w:line="288" w:lineRule="auto"/>
        <w:ind w:left="0"/>
        <w:jc w:val="left"/>
      </w:pPr>
      <w:r>
        <w:rPr>
          <w:rFonts w:eastAsia="等线" w:ascii="Arial" w:cs="Arial" w:hAnsi="Arial"/>
          <w:sz w:val="22"/>
        </w:rPr>
        <w:t>数据安全：投标方须具备ISO 27001或等保三级认证，承诺数据存储符合《网络安全法》，支持私有云或国内服务器部署。</w:t>
      </w:r>
    </w:p>
    <w:p>
      <w:pPr>
        <w:numPr>
          <w:numId w:val="2"/>
        </w:numPr>
        <w:spacing w:before="120" w:after="120" w:line="288" w:lineRule="auto"/>
        <w:ind w:left="0"/>
        <w:jc w:val="left"/>
      </w:pPr>
      <w:r>
        <w:rPr>
          <w:rFonts w:eastAsia="等线" w:ascii="Arial" w:cs="Arial" w:hAnsi="Arial"/>
          <w:sz w:val="22"/>
        </w:rPr>
        <w:t>服务连续性：需提供详细的原CRM系统全量数据迁移方案（含客户档案、跟进记录、附件等），确保迁移期间业务不断档，历史数据完整且可追溯。</w:t>
      </w:r>
    </w:p>
    <w:p>
      <w:pPr>
        <w:pStyle w:val="2"/>
        <w:spacing w:before="320" w:after="120" w:line="288" w:lineRule="auto"/>
        <w:ind w:left="0"/>
        <w:jc w:val="left"/>
        <w:outlineLvl w:val="1"/>
      </w:pPr>
      <w:bookmarkStart w:name="heading_2" w:id="2"/>
      <w:r>
        <w:rPr>
          <w:rFonts w:eastAsia="等线" w:ascii="Arial" w:cs="Arial" w:hAnsi="Arial"/>
          <w:b w:val="true"/>
          <w:sz w:val="32"/>
        </w:rPr>
        <w:t>三、核心功能需求</w:t>
      </w:r>
      <w:bookmarkEnd w:id="2"/>
    </w:p>
    <w:p>
      <w:pPr>
        <w:spacing w:before="120" w:after="120" w:line="288" w:lineRule="auto"/>
        <w:ind w:left="0"/>
        <w:jc w:val="left"/>
      </w:pPr>
      <w:r>
        <w:rPr>
          <w:rFonts w:eastAsia="等线" w:ascii="Arial" w:cs="Arial" w:hAnsi="Arial"/>
          <w:sz w:val="22"/>
        </w:rPr>
        <w:t>以下功能为本次项目的</w:t>
      </w:r>
      <w:r>
        <w:rPr>
          <w:rFonts w:eastAsia="等线" w:ascii="Arial" w:cs="Arial" w:hAnsi="Arial"/>
          <w:sz w:val="22"/>
        </w:rPr>
        <w:t>核心功能</w:t>
      </w:r>
      <w:r>
        <w:rPr>
          <w:rFonts w:eastAsia="等线" w:ascii="Arial" w:cs="Arial" w:hAnsi="Arial"/>
          <w:sz w:val="22"/>
        </w:rPr>
        <w:t>需求，投标方需在标书中逐项响应并提供相关截图或Demo视频证明。</w:t>
      </w:r>
    </w:p>
    <w:p>
      <w:pPr>
        <w:pStyle w:val="3"/>
        <w:spacing w:before="300" w:after="120" w:line="288" w:lineRule="auto"/>
        <w:ind w:left="0"/>
        <w:jc w:val="left"/>
        <w:outlineLvl w:val="2"/>
      </w:pPr>
      <w:bookmarkStart w:name="heading_3" w:id="3"/>
      <w:r>
        <w:rPr>
          <w:rFonts w:eastAsia="等线" w:ascii="Arial" w:cs="Arial" w:hAnsi="Arial"/>
          <w:b w:val="true"/>
          <w:sz w:val="30"/>
        </w:rPr>
        <w:t>（一）全球化基础设施</w:t>
      </w:r>
      <w:bookmarkEnd w:id="3"/>
    </w:p>
    <w:p>
      <w:pPr>
        <w:numPr>
          <w:numId w:val="3"/>
        </w:numPr>
        <w:spacing w:before="120" w:after="120" w:line="288" w:lineRule="auto"/>
        <w:ind w:left="0"/>
        <w:jc w:val="left"/>
      </w:pPr>
      <w:r>
        <w:rPr>
          <w:rFonts w:eastAsia="等线" w:ascii="Arial" w:cs="Arial" w:hAnsi="Arial"/>
          <w:sz w:val="22"/>
        </w:rPr>
        <w:t>多语言与界面：原生支持中文、英文、俄语、西班牙语、印尼语界面，支持多时区、多币种汇率自动转换。</w:t>
      </w:r>
    </w:p>
    <w:p>
      <w:pPr>
        <w:numPr>
          <w:numId w:val="4"/>
        </w:numPr>
        <w:spacing w:before="120" w:after="120" w:line="288" w:lineRule="auto"/>
        <w:ind w:left="0"/>
        <w:jc w:val="left"/>
      </w:pPr>
      <w:r>
        <w:rPr>
          <w:rFonts w:eastAsia="等线" w:ascii="Arial" w:cs="Arial" w:hAnsi="Arial"/>
          <w:sz w:val="22"/>
        </w:rPr>
        <w:t>网络体验与海量数据性能：</w:t>
      </w:r>
    </w:p>
    <w:p>
      <w:pPr>
        <w:numPr>
          <w:numId w:val="5"/>
        </w:numPr>
        <w:spacing w:before="120" w:after="120" w:line="288" w:lineRule="auto"/>
        <w:ind w:left="453"/>
        <w:jc w:val="left"/>
      </w:pPr>
      <w:r>
        <w:rPr>
          <w:rFonts w:eastAsia="等线" w:ascii="Arial" w:cs="Arial" w:hAnsi="Arial"/>
          <w:sz w:val="22"/>
        </w:rPr>
        <w:t>投标方需承诺：随着系统使用年限增长，即便客户档案、邮件记录、附件存储总量达到TB级（或千万级数据量），系统前端页面的平均交互响应时间（首屏加载、列表翻页、搜索查询）依然保持在2秒以内。</w:t>
      </w:r>
    </w:p>
    <w:p>
      <w:pPr>
        <w:numPr>
          <w:numId w:val="6"/>
        </w:numPr>
        <w:spacing w:before="120" w:after="120" w:line="288" w:lineRule="auto"/>
        <w:ind w:left="453"/>
        <w:jc w:val="left"/>
      </w:pPr>
      <w:r>
        <w:rPr>
          <w:rFonts w:eastAsia="等线" w:ascii="Arial" w:cs="Arial" w:hAnsi="Arial"/>
          <w:sz w:val="22"/>
        </w:rPr>
        <w:t>需提供数据库索引优化方案及历史数据自动冷热分离存储的技术架构说明。</w:t>
      </w:r>
    </w:p>
    <w:p>
      <w:pPr>
        <w:numPr>
          <w:numId w:val="7"/>
        </w:numPr>
        <w:spacing w:before="120" w:after="120" w:line="288" w:lineRule="auto"/>
        <w:ind w:left="453"/>
        <w:jc w:val="left"/>
      </w:pPr>
      <w:r>
        <w:rPr>
          <w:rFonts w:eastAsia="等线" w:ascii="Arial" w:cs="Arial" w:hAnsi="Arial"/>
          <w:sz w:val="22"/>
        </w:rPr>
        <w:t>具备海外加速节点或全球CDN部署能力，确保海外员工操作低延迟、不卡顿。</w:t>
      </w:r>
    </w:p>
    <w:p>
      <w:pPr>
        <w:numPr>
          <w:numId w:val="8"/>
        </w:numPr>
        <w:spacing w:before="120" w:after="120" w:line="288" w:lineRule="auto"/>
        <w:ind w:left="0"/>
        <w:jc w:val="left"/>
      </w:pPr>
      <w:r>
        <w:rPr>
          <w:rFonts w:eastAsia="等线" w:ascii="Arial" w:cs="Arial" w:hAnsi="Arial"/>
          <w:sz w:val="22"/>
        </w:rPr>
        <w:t>邮件集成：支持IMAP/SMTP协议对接，实现邮件富文本“@”关联客户与同事，具备邮件是否送达检测、超时未读提醒及发信撤回/延迟发送功能。</w:t>
      </w:r>
    </w:p>
    <w:p>
      <w:pPr>
        <w:pStyle w:val="3"/>
        <w:spacing w:before="300" w:after="120" w:line="288" w:lineRule="auto"/>
        <w:ind w:left="0"/>
        <w:jc w:val="left"/>
        <w:outlineLvl w:val="2"/>
      </w:pPr>
      <w:bookmarkStart w:name="heading_4" w:id="4"/>
      <w:r>
        <w:rPr>
          <w:rFonts w:eastAsia="等线" w:ascii="Arial" w:cs="Arial" w:hAnsi="Arial"/>
          <w:b w:val="true"/>
          <w:sz w:val="30"/>
        </w:rPr>
        <w:t>（二）全渠道获客与IM整合</w:t>
      </w:r>
      <w:bookmarkEnd w:id="4"/>
    </w:p>
    <w:p>
      <w:pPr>
        <w:numPr>
          <w:numId w:val="9"/>
        </w:numPr>
        <w:spacing w:before="120" w:after="120" w:line="288" w:lineRule="auto"/>
        <w:ind w:left="0"/>
        <w:jc w:val="left"/>
      </w:pPr>
      <w:r>
        <w:rPr>
          <w:rFonts w:eastAsia="等线" w:ascii="Arial" w:cs="Arial" w:hAnsi="Arial"/>
          <w:sz w:val="22"/>
        </w:rPr>
        <w:t>社交/社媒整合：深度集成WhatsApp、Facebook Messenger、LinkedIn、Instagram、Telegram、微信（企微/个微），实现聊天记录实时同步至CRM客户档案。</w:t>
      </w:r>
    </w:p>
    <w:p>
      <w:pPr>
        <w:numPr>
          <w:numId w:val="10"/>
        </w:numPr>
        <w:spacing w:before="120" w:after="120" w:line="288" w:lineRule="auto"/>
        <w:ind w:left="0"/>
        <w:jc w:val="left"/>
      </w:pPr>
      <w:r>
        <w:rPr>
          <w:rFonts w:eastAsia="等线" w:ascii="Arial" w:cs="Arial" w:hAnsi="Arial"/>
          <w:sz w:val="22"/>
        </w:rPr>
        <w:t>广告与ROI：对接Google Ads、Facebook Ads，实现广告成本与产出ROI的自动回传与看板统计。</w:t>
      </w:r>
    </w:p>
    <w:p>
      <w:pPr>
        <w:numPr>
          <w:numId w:val="11"/>
        </w:numPr>
        <w:spacing w:before="120" w:after="120" w:line="288" w:lineRule="auto"/>
        <w:ind w:left="0"/>
        <w:jc w:val="left"/>
      </w:pPr>
      <w:r>
        <w:rPr>
          <w:rFonts w:eastAsia="等线" w:ascii="Arial" w:cs="Arial" w:hAnsi="Arial"/>
          <w:sz w:val="22"/>
        </w:rPr>
        <w:t>自动化分发（询盘路由引擎）：</w:t>
      </w:r>
    </w:p>
    <w:p>
      <w:pPr>
        <w:spacing w:before="120" w:after="120" w:line="288" w:lineRule="auto"/>
        <w:ind w:left="0"/>
        <w:jc w:val="left"/>
      </w:pPr>
      <w:r>
        <w:rPr>
          <w:rFonts w:eastAsia="等线" w:ascii="Arial" w:cs="Arial" w:hAnsi="Arial"/>
          <w:sz w:val="22"/>
        </w:rPr>
        <w:t>背景：针对我司复杂的组织架构与业绩管控逻辑，CRM需内置高度可配置的询盘路由策略引擎。</w:t>
      </w:r>
    </w:p>
    <w:p>
      <w:pPr>
        <w:spacing w:before="120" w:after="120" w:line="288" w:lineRule="auto"/>
        <w:ind w:left="0"/>
        <w:jc w:val="left"/>
      </w:pPr>
      <w:r>
        <w:rPr>
          <w:rFonts w:eastAsia="等线" w:ascii="Arial" w:cs="Arial" w:hAnsi="Arial"/>
          <w:sz w:val="22"/>
        </w:rPr>
        <w:t>关键逻辑实现路径（投标方需展示后台配置界面，证明可零代码实现以下规则）：</w:t>
      </w:r>
    </w:p>
    <w:p>
      <w:pPr>
        <w:numPr>
          <w:numId w:val="12"/>
        </w:numPr>
        <w:spacing w:before="120" w:after="120" w:line="288" w:lineRule="auto"/>
        <w:ind w:left="453"/>
        <w:jc w:val="left"/>
      </w:pPr>
      <w:r>
        <w:rPr>
          <w:rFonts w:eastAsia="等线" w:ascii="Arial" w:cs="Arial" w:hAnsi="Arial"/>
          <w:sz w:val="22"/>
        </w:rPr>
        <w:t>多维交叉表配置：支持建立 [业务组织] - [行业大类] - [区域] 的三级映射表，并与 [业务员等级] 关联。</w:t>
      </w:r>
    </w:p>
    <w:p>
      <w:pPr>
        <w:numPr>
          <w:numId w:val="13"/>
        </w:numPr>
        <w:spacing w:before="120" w:after="120" w:line="288" w:lineRule="auto"/>
        <w:ind w:left="453"/>
        <w:jc w:val="left"/>
      </w:pPr>
      <w:r>
        <w:rPr>
          <w:rFonts w:eastAsia="等线" w:ascii="Arial" w:cs="Arial" w:hAnsi="Arial"/>
          <w:sz w:val="22"/>
        </w:rPr>
        <w:t>分级准入机制：询盘标记为 S/A 级时，系统强制过滤接收人范围，仅允许等级为“专家/骨干”的员工可见/接收；B/C 级全员可见。</w:t>
      </w:r>
    </w:p>
    <w:p>
      <w:pPr>
        <w:numPr>
          <w:numId w:val="14"/>
        </w:numPr>
        <w:spacing w:before="120" w:after="120" w:line="288" w:lineRule="auto"/>
        <w:ind w:left="453"/>
        <w:jc w:val="left"/>
      </w:pPr>
      <w:r>
        <w:rPr>
          <w:rFonts w:eastAsia="等线" w:ascii="Arial" w:cs="Arial" w:hAnsi="Arial"/>
          <w:sz w:val="22"/>
        </w:rPr>
        <w:t>分层轮询与计数器：</w:t>
      </w:r>
    </w:p>
    <w:p>
      <w:pPr>
        <w:numPr>
          <w:numId w:val="15"/>
        </w:numPr>
        <w:spacing w:before="120" w:after="120" w:line="288" w:lineRule="auto"/>
        <w:ind w:left="907"/>
        <w:jc w:val="left"/>
      </w:pPr>
      <w:r>
        <w:rPr>
          <w:rFonts w:eastAsia="等线" w:ascii="Arial" w:cs="Arial" w:hAnsi="Arial"/>
          <w:sz w:val="22"/>
        </w:rPr>
        <w:t>支持 S/A级队列 与 B/C级队列 并行独立轮询，互不干扰。</w:t>
      </w:r>
    </w:p>
    <w:p>
      <w:pPr>
        <w:numPr>
          <w:numId w:val="16"/>
        </w:numPr>
        <w:spacing w:before="120" w:after="120" w:line="288" w:lineRule="auto"/>
        <w:ind w:left="907"/>
        <w:jc w:val="left"/>
      </w:pPr>
      <w:r>
        <w:rPr>
          <w:rFonts w:eastAsia="等线" w:ascii="Arial" w:cs="Arial" w:hAnsi="Arial"/>
          <w:sz w:val="22"/>
        </w:rPr>
        <w:t>支持不重置的连续大轮询（记录上次分配位置，次日顺延）。</w:t>
      </w:r>
    </w:p>
    <w:p>
      <w:pPr>
        <w:numPr>
          <w:numId w:val="17"/>
        </w:numPr>
        <w:spacing w:before="120" w:after="120" w:line="288" w:lineRule="auto"/>
        <w:ind w:left="907"/>
        <w:jc w:val="left"/>
      </w:pPr>
      <w:r>
        <w:rPr>
          <w:rFonts w:eastAsia="等线" w:ascii="Arial" w:cs="Arial" w:hAnsi="Arial"/>
          <w:sz w:val="22"/>
        </w:rPr>
        <w:t>内置多维度计数器：单日S/A上限（1条）、单日总量上限（2条）、单月总量上限（45条），超限后自动跳过该业务员。</w:t>
      </w:r>
    </w:p>
    <w:p>
      <w:pPr>
        <w:numPr>
          <w:numId w:val="18"/>
        </w:numPr>
        <w:spacing w:before="120" w:after="120" w:line="288" w:lineRule="auto"/>
        <w:ind w:left="453"/>
        <w:jc w:val="left"/>
      </w:pPr>
      <w:r>
        <w:rPr>
          <w:rFonts w:eastAsia="等线" w:ascii="Arial" w:cs="Arial" w:hAnsi="Arial"/>
          <w:sz w:val="22"/>
        </w:rPr>
        <w:t>特权与例外管理：</w:t>
      </w:r>
    </w:p>
    <w:p>
      <w:pPr>
        <w:numPr>
          <w:numId w:val="19"/>
        </w:numPr>
        <w:spacing w:before="120" w:after="120" w:line="288" w:lineRule="auto"/>
        <w:ind w:left="907"/>
        <w:jc w:val="left"/>
      </w:pPr>
      <w:r>
        <w:rPr>
          <w:rFonts w:eastAsia="等线" w:ascii="Arial" w:cs="Arial" w:hAnsi="Arial"/>
          <w:sz w:val="22"/>
        </w:rPr>
        <w:t>国家特权表（最高优先级）：支持上传有效期内的 [国家-指定业务员] 对照表，命中后无视轮询与等级直接分配。</w:t>
      </w:r>
    </w:p>
    <w:p>
      <w:pPr>
        <w:numPr>
          <w:numId w:val="20"/>
        </w:numPr>
        <w:spacing w:before="120" w:after="120" w:line="288" w:lineRule="auto"/>
        <w:ind w:left="907"/>
        <w:jc w:val="left"/>
      </w:pPr>
      <w:r>
        <w:rPr>
          <w:rFonts w:eastAsia="等线" w:ascii="Arial" w:cs="Arial" w:hAnsi="Arial"/>
          <w:sz w:val="22"/>
        </w:rPr>
        <w:t>值班/请假状态：支持日历排班，请假状态自动冻结分配资格；节假日开启“仅值班人员分配”模式。</w:t>
      </w:r>
    </w:p>
    <w:p>
      <w:pPr>
        <w:numPr>
          <w:numId w:val="21"/>
        </w:numPr>
        <w:spacing w:before="120" w:after="120" w:line="288" w:lineRule="auto"/>
        <w:ind w:left="453"/>
        <w:jc w:val="left"/>
      </w:pPr>
      <w:r>
        <w:rPr>
          <w:rFonts w:eastAsia="等线" w:ascii="Arial" w:cs="Arial" w:hAnsi="Arial"/>
          <w:sz w:val="22"/>
        </w:rPr>
        <w:t>小组权重抽签：支持在轮询池内对小组设置不同权重系数进行概率分配。</w:t>
      </w:r>
    </w:p>
    <w:p>
      <w:pPr>
        <w:pStyle w:val="3"/>
        <w:spacing w:before="300" w:after="120" w:line="288" w:lineRule="auto"/>
        <w:ind w:left="0"/>
        <w:jc w:val="left"/>
        <w:outlineLvl w:val="2"/>
      </w:pPr>
      <w:bookmarkStart w:name="heading_5" w:id="5"/>
      <w:r>
        <w:rPr>
          <w:rFonts w:eastAsia="等线" w:ascii="Arial" w:cs="Arial" w:hAnsi="Arial"/>
          <w:b w:val="true"/>
          <w:sz w:val="30"/>
        </w:rPr>
        <w:t>（三）AI驱动的效率与决策引擎</w:t>
      </w:r>
      <w:bookmarkEnd w:id="5"/>
    </w:p>
    <w:p>
      <w:pPr>
        <w:numPr>
          <w:numId w:val="22"/>
        </w:numPr>
        <w:spacing w:before="120" w:after="120" w:line="288" w:lineRule="auto"/>
        <w:ind w:left="0"/>
        <w:jc w:val="left"/>
      </w:pPr>
      <w:r>
        <w:rPr>
          <w:rFonts w:eastAsia="等线" w:ascii="Arial" w:cs="Arial" w:hAnsi="Arial"/>
          <w:sz w:val="22"/>
        </w:rPr>
        <w:t>AI辅助录入：基于邮件/IM聊天内容，AI自动提炼“客户需求、预算、痛点”生成跟进记录，并给出下一步跟进策略建议。</w:t>
      </w:r>
    </w:p>
    <w:p>
      <w:pPr>
        <w:numPr>
          <w:numId w:val="23"/>
        </w:numPr>
        <w:spacing w:before="120" w:after="120" w:line="288" w:lineRule="auto"/>
        <w:ind w:left="0"/>
        <w:jc w:val="left"/>
      </w:pPr>
      <w:r>
        <w:rPr>
          <w:rFonts w:eastAsia="等线" w:ascii="Arial" w:cs="Arial" w:hAnsi="Arial"/>
          <w:sz w:val="22"/>
        </w:rPr>
        <w:t>智能背景调查：输入客户名，AI自动抓取Google公开信息、邓白氏/海关数据（若有）填充公司档案，无需人工背调。</w:t>
      </w:r>
    </w:p>
    <w:p>
      <w:pPr>
        <w:numPr>
          <w:numId w:val="24"/>
        </w:numPr>
        <w:spacing w:before="120" w:after="120" w:line="288" w:lineRule="auto"/>
        <w:ind w:left="0"/>
        <w:jc w:val="left"/>
      </w:pPr>
      <w:r>
        <w:rPr>
          <w:rFonts w:eastAsia="等线" w:ascii="Arial" w:cs="Arial" w:hAnsi="Arial"/>
          <w:sz w:val="22"/>
        </w:rPr>
        <w:t>AI智能知识库：具有知识库知识学习，业务员划词即可AI生成专业回复话术。</w:t>
      </w:r>
    </w:p>
    <w:p>
      <w:pPr>
        <w:numPr>
          <w:numId w:val="25"/>
        </w:numPr>
        <w:spacing w:before="120" w:after="120" w:line="288" w:lineRule="auto"/>
        <w:ind w:left="0"/>
        <w:jc w:val="left"/>
      </w:pPr>
      <w:r>
        <w:rPr>
          <w:rFonts w:eastAsia="等线" w:ascii="Arial" w:cs="Arial" w:hAnsi="Arial"/>
          <w:sz w:val="22"/>
        </w:rPr>
        <w:t>异常预警：商机停留超时、长期未跟进、转化率突变时，系统自动强提醒至管理者与责任人。</w:t>
      </w:r>
    </w:p>
    <w:p>
      <w:pPr>
        <w:numPr>
          <w:numId w:val="26"/>
        </w:numPr>
        <w:spacing w:before="120" w:after="120" w:line="288" w:lineRule="auto"/>
        <w:ind w:left="0"/>
        <w:jc w:val="left"/>
      </w:pPr>
      <w:r>
        <w:rPr>
          <w:rFonts w:eastAsia="等线" w:ascii="Arial" w:cs="Arial" w:hAnsi="Arial"/>
          <w:sz w:val="22"/>
        </w:rPr>
        <w:t>AI智能报价单生成与富文本插入：</w:t>
      </w:r>
    </w:p>
    <w:p>
      <w:pPr>
        <w:numPr>
          <w:numId w:val="27"/>
        </w:numPr>
        <w:spacing w:before="120" w:after="120" w:line="288" w:lineRule="auto"/>
        <w:ind w:left="453"/>
        <w:jc w:val="left"/>
      </w:pPr>
      <w:r>
        <w:rPr>
          <w:rFonts w:eastAsia="等线" w:ascii="Arial" w:cs="Arial" w:hAnsi="Arial"/>
          <w:sz w:val="22"/>
        </w:rPr>
        <w:t>数据引用：AI助手需直接读取ERP同步的产品库（含型号、规格、成本价、阶梯价）。</w:t>
      </w:r>
    </w:p>
    <w:p>
      <w:pPr>
        <w:numPr>
          <w:numId w:val="28"/>
        </w:numPr>
        <w:spacing w:before="120" w:after="120" w:line="288" w:lineRule="auto"/>
        <w:ind w:left="453"/>
        <w:jc w:val="left"/>
      </w:pPr>
      <w:r>
        <w:rPr>
          <w:rFonts w:eastAsia="等线" w:ascii="Arial" w:cs="Arial" w:hAnsi="Arial"/>
          <w:sz w:val="22"/>
        </w:rPr>
        <w:t>一键生成：在邮件或聊天窗口侧边栏，输入客户需求关键词（如：“XX型号泵车报价”），AI自动拉取对应产品信息生成标准报价单预览（含产品图片、参数、单价、总价）。</w:t>
      </w:r>
    </w:p>
    <w:p>
      <w:pPr>
        <w:numPr>
          <w:numId w:val="29"/>
        </w:numPr>
        <w:spacing w:before="120" w:after="120" w:line="288" w:lineRule="auto"/>
        <w:ind w:left="453"/>
        <w:jc w:val="left"/>
      </w:pPr>
      <w:r>
        <w:rPr>
          <w:rFonts w:eastAsia="等线" w:ascii="Arial" w:cs="Arial" w:hAnsi="Arial"/>
          <w:sz w:val="22"/>
        </w:rPr>
        <w:t>UI自定义与插入：</w:t>
      </w:r>
    </w:p>
    <w:p>
      <w:pPr>
        <w:numPr>
          <w:numId w:val="30"/>
        </w:numPr>
        <w:spacing w:before="120" w:after="120" w:line="288" w:lineRule="auto"/>
        <w:ind w:left="907"/>
        <w:jc w:val="left"/>
      </w:pPr>
      <w:r>
        <w:rPr>
          <w:rFonts w:eastAsia="等线" w:ascii="Arial" w:cs="Arial" w:hAnsi="Arial"/>
          <w:sz w:val="22"/>
        </w:rPr>
        <w:t>报价单样式支持可视化拖拽调整（Logo位置、公司名称字体、货币符号显示规则、隐藏成本列/毛利列权限控制）。</w:t>
      </w:r>
    </w:p>
    <w:p>
      <w:pPr>
        <w:numPr>
          <w:numId w:val="31"/>
        </w:numPr>
        <w:spacing w:before="120" w:after="120" w:line="288" w:lineRule="auto"/>
        <w:ind w:left="907"/>
        <w:jc w:val="left"/>
      </w:pPr>
      <w:r>
        <w:rPr>
          <w:rFonts w:eastAsia="等线" w:ascii="Arial" w:cs="Arial" w:hAnsi="Arial"/>
          <w:sz w:val="22"/>
        </w:rPr>
        <w:t>支持将生成的报价单以HTML富文本片段或PDF附件形式一键插入邮件正文/回复框，且插入后在移动端显示正常不扭曲。</w:t>
      </w:r>
    </w:p>
    <w:p>
      <w:pPr>
        <w:pStyle w:val="3"/>
        <w:spacing w:before="300" w:after="120" w:line="288" w:lineRule="auto"/>
        <w:ind w:left="0"/>
        <w:jc w:val="left"/>
        <w:outlineLvl w:val="2"/>
      </w:pPr>
      <w:bookmarkStart w:name="heading_6" w:id="6"/>
      <w:r>
        <w:rPr>
          <w:rFonts w:eastAsia="等线" w:ascii="Arial" w:cs="Arial" w:hAnsi="Arial"/>
          <w:b w:val="true"/>
          <w:sz w:val="30"/>
        </w:rPr>
        <w:t>（四）精细化商机与销售管理</w:t>
      </w:r>
      <w:bookmarkEnd w:id="6"/>
    </w:p>
    <w:p>
      <w:pPr>
        <w:numPr>
          <w:numId w:val="32"/>
        </w:numPr>
        <w:spacing w:before="120" w:after="120" w:line="288" w:lineRule="auto"/>
        <w:ind w:left="0"/>
        <w:jc w:val="left"/>
      </w:pPr>
      <w:r>
        <w:rPr>
          <w:rFonts w:eastAsia="等线" w:ascii="Arial" w:cs="Arial" w:hAnsi="Arial"/>
          <w:sz w:val="22"/>
        </w:rPr>
        <w:t>商机流程自动化：商机阶段需基于条件触发自动流转（如：客户回复邮件自动从“初步接触”转入“需求确认”），严禁纯手动拖拽，支持条件分支逻辑。</w:t>
      </w:r>
    </w:p>
    <w:p>
      <w:pPr>
        <w:numPr>
          <w:numId w:val="33"/>
        </w:numPr>
        <w:spacing w:before="120" w:after="120" w:line="288" w:lineRule="auto"/>
        <w:ind w:left="0"/>
        <w:jc w:val="left"/>
      </w:pPr>
      <w:r>
        <w:rPr>
          <w:rFonts w:eastAsia="等线" w:ascii="Arial" w:cs="Arial" w:hAnsi="Arial"/>
          <w:sz w:val="22"/>
        </w:rPr>
        <w:t>公海与审批：客户转公海、商机删除、客户转交需强制开启审批流程；公海捞取客户时历史跟进记录完全保留可见。</w:t>
      </w:r>
    </w:p>
    <w:p>
      <w:pPr>
        <w:numPr>
          <w:numId w:val="34"/>
        </w:numPr>
        <w:spacing w:before="120" w:after="120" w:line="288" w:lineRule="auto"/>
        <w:ind w:left="0"/>
        <w:jc w:val="left"/>
      </w:pPr>
      <w:r>
        <w:rPr>
          <w:rFonts w:eastAsia="等线" w:ascii="Arial" w:cs="Arial" w:hAnsi="Arial"/>
          <w:sz w:val="22"/>
        </w:rPr>
        <w:t>产品核价：支持在CRM内调用ERP价格体系进行报价单的多级审批与毛利核算。</w:t>
      </w:r>
    </w:p>
    <w:p>
      <w:pPr>
        <w:pStyle w:val="3"/>
        <w:spacing w:before="300" w:after="120" w:line="288" w:lineRule="auto"/>
        <w:ind w:left="0"/>
        <w:jc w:val="left"/>
        <w:outlineLvl w:val="2"/>
      </w:pPr>
      <w:bookmarkStart w:name="heading_7" w:id="7"/>
      <w:r>
        <w:rPr>
          <w:rFonts w:eastAsia="等线" w:ascii="Arial" w:cs="Arial" w:hAnsi="Arial"/>
          <w:b w:val="true"/>
          <w:sz w:val="30"/>
        </w:rPr>
        <w:t>（五）数据看板与BI</w:t>
      </w:r>
      <w:bookmarkEnd w:id="7"/>
    </w:p>
    <w:p>
      <w:pPr>
        <w:numPr>
          <w:numId w:val="35"/>
        </w:numPr>
        <w:spacing w:before="120" w:after="120" w:line="288" w:lineRule="auto"/>
        <w:ind w:left="0"/>
        <w:jc w:val="left"/>
      </w:pPr>
      <w:r>
        <w:rPr>
          <w:rFonts w:eastAsia="等线" w:ascii="Arial" w:cs="Arial" w:hAnsi="Arial"/>
          <w:sz w:val="22"/>
        </w:rPr>
        <w:t>全阶段漏斗：看板需覆盖线索-客户-商机-交付全生命周期，支持同比、环比、快照分析。</w:t>
      </w:r>
    </w:p>
    <w:p>
      <w:pPr>
        <w:numPr>
          <w:numId w:val="36"/>
        </w:numPr>
        <w:spacing w:before="120" w:after="120" w:line="288" w:lineRule="auto"/>
        <w:ind w:left="0"/>
        <w:jc w:val="left"/>
      </w:pPr>
      <w:r>
        <w:rPr>
          <w:rFonts w:eastAsia="等线" w:ascii="Arial" w:cs="Arial" w:hAnsi="Arial"/>
          <w:sz w:val="22"/>
        </w:rPr>
        <w:t>自定义BI：支持引用自定义字段搭建数据看板，数据可下钻溯源至原始单据或聊天记录。</w:t>
      </w:r>
    </w:p>
    <w:p>
      <w:pPr>
        <w:pStyle w:val="2"/>
        <w:spacing w:before="320" w:after="120" w:line="288" w:lineRule="auto"/>
        <w:ind w:left="0"/>
        <w:jc w:val="left"/>
        <w:outlineLvl w:val="1"/>
      </w:pPr>
      <w:bookmarkStart w:name="heading_8" w:id="8"/>
      <w:r>
        <w:rPr>
          <w:rFonts w:eastAsia="等线" w:ascii="Arial" w:cs="Arial" w:hAnsi="Arial"/>
          <w:b w:val="true"/>
          <w:sz w:val="32"/>
        </w:rPr>
        <w:t>四、技术集成与非功能性要求</w:t>
      </w:r>
      <w:bookmarkEnd w:id="8"/>
    </w:p>
    <w:p>
      <w:pPr>
        <w:numPr>
          <w:numId w:val="37"/>
        </w:numPr>
        <w:spacing w:before="120" w:after="120" w:line="288" w:lineRule="auto"/>
        <w:ind w:left="0"/>
        <w:jc w:val="left"/>
      </w:pPr>
      <w:r>
        <w:rPr>
          <w:rFonts w:eastAsia="等线" w:ascii="Arial" w:cs="Arial" w:hAnsi="Arial"/>
          <w:sz w:val="22"/>
        </w:rPr>
        <w:t>ERP/群集成：与公司现有ERP系统双向同步（客户主数据、产品、订单状态）；与飞书/企微项目群打通，任务下发与执行结果同步CRM。</w:t>
      </w:r>
    </w:p>
    <w:p>
      <w:pPr>
        <w:numPr>
          <w:numId w:val="38"/>
        </w:numPr>
        <w:spacing w:before="120" w:after="120" w:line="288" w:lineRule="auto"/>
        <w:ind w:left="0"/>
        <w:jc w:val="left"/>
      </w:pPr>
      <w:r>
        <w:rPr>
          <w:rFonts w:eastAsia="等线" w:ascii="Arial" w:cs="Arial" w:hAnsi="Arial"/>
          <w:sz w:val="22"/>
        </w:rPr>
        <w:t>开放API：需提供完整的RESTful API接口文档，便于自开发BI或挂载第三方插件。</w:t>
      </w:r>
    </w:p>
    <w:p>
      <w:pPr>
        <w:pStyle w:val="2"/>
        <w:spacing w:before="320" w:after="120" w:line="288" w:lineRule="auto"/>
        <w:ind w:left="0"/>
        <w:jc w:val="left"/>
        <w:outlineLvl w:val="1"/>
      </w:pPr>
      <w:bookmarkStart w:name="heading_9" w:id="9"/>
      <w:r>
        <w:rPr>
          <w:rFonts w:eastAsia="等线" w:ascii="Arial" w:cs="Arial" w:hAnsi="Arial"/>
          <w:b w:val="true"/>
          <w:sz w:val="32"/>
        </w:rPr>
        <w:t>五、项目验收标准</w:t>
      </w:r>
      <w:bookmarkEnd w:id="9"/>
    </w:p>
    <w:p>
      <w:pPr>
        <w:spacing w:before="120" w:after="120" w:line="288" w:lineRule="auto"/>
        <w:ind w:left="0"/>
        <w:jc w:val="left"/>
      </w:pPr>
      <w:r>
        <w:rPr>
          <w:rFonts w:eastAsia="等线" w:ascii="Arial" w:cs="Arial" w:hAnsi="Arial"/>
          <w:sz w:val="22"/>
        </w:rPr>
        <w:t>以下标准作为项目上线前的关键否决项，任何一项不达标视为验收不通过。</w:t>
      </w:r>
    </w:p>
    <w:p>
      <w:pPr>
        <w:pBdr>
          <w:bottom w:val="single" w:color="dee0e3"/>
          <w:between w:val="single" w:color="dee0e3"/>
        </w:pBdr>
        <w:spacing w:before="120" w:after="120" w:line="288" w:lineRule="auto"/>
        <w:ind w:left="0"/>
      </w:pPr>
    </w:p>
    <w:p>
      <w:pPr>
        <w:pStyle w:val="4"/>
        <w:spacing w:before="260" w:after="120" w:line="288" w:lineRule="auto"/>
        <w:ind w:left="0"/>
        <w:jc w:val="left"/>
        <w:outlineLvl w:val="3"/>
      </w:pPr>
      <w:bookmarkStart w:name="heading_10" w:id="10"/>
      <w:r>
        <w:rPr>
          <w:rFonts w:eastAsia="等线" w:ascii="Arial" w:cs="Arial" w:hAnsi="Arial"/>
          <w:b w:val="true"/>
          <w:sz w:val="28"/>
        </w:rPr>
        <w:t>第一类：数据迁移与完整性验收</w:t>
      </w:r>
      <w:bookmarkEnd w:id="10"/>
    </w:p>
    <w:p>
      <w:pPr>
        <w:spacing w:before="120" w:after="120" w:line="288" w:lineRule="auto"/>
        <w:ind w:left="0"/>
      </w:pPr>
      <w:r>
        <w:object>
          <v:shapetype coordsize="21600,21600" filled="f" id="_x0000_t75" o:preferrelative="t" path="m@4@5l@4@11@9@11@9@5xe" stroked="f" o:spt="75.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i1025" style="width:414pt;height:93pt;mso-width-percent:0;mso-height-percent:0;mso-width-percent:0;mso-height-percent:0" type="#_x0000_t75" o:ole="">
            <v:imagedata r:id="rId6" o:title=""/>
          </v:shape>
          <o:OLEObject DrawAspect="Icon" ObjectID="_1718471219" ProgID="Excel.Sheet.12" ShapeID="_x0000_i1025" Type="Embed" r:id="rId5"/>
        </w:object>
      </w:r>
    </w:p>
    <w:p>
      <w:pPr>
        <w:spacing w:after="120"/>
        <w:ind w:left="0"/>
        <w:jc w:val="center"/>
      </w:pPr>
      <w:r>
        <w:rPr>
          <w:rFonts w:eastAsia="等线" w:ascii="Arial" w:cs="Arial" w:hAnsi="Arial"/>
          <w:b w:val="true"/>
          <w:sz w:val="22"/>
        </w:rPr>
        <w:t>点击图片可查看完整电子表格</w:t>
      </w:r>
    </w:p>
    <w:p>
      <w:pPr>
        <w:pBdr>
          <w:bottom w:val="single" w:color="dee0e3"/>
          <w:between w:val="single" w:color="dee0e3"/>
        </w:pBdr>
        <w:spacing w:before="120" w:after="120" w:line="288" w:lineRule="auto"/>
        <w:ind w:left="0"/>
      </w:pPr>
    </w:p>
    <w:p>
      <w:pPr>
        <w:pStyle w:val="4"/>
        <w:spacing w:before="260" w:after="120" w:line="288" w:lineRule="auto"/>
        <w:ind w:left="0"/>
        <w:jc w:val="left"/>
        <w:outlineLvl w:val="3"/>
      </w:pPr>
      <w:bookmarkStart w:name="heading_11" w:id="11"/>
      <w:r>
        <w:rPr>
          <w:rFonts w:eastAsia="等线" w:ascii="Arial" w:cs="Arial" w:hAnsi="Arial"/>
          <w:b w:val="true"/>
          <w:sz w:val="28"/>
        </w:rPr>
        <w:t>第二类：核心业务流程验收</w:t>
      </w:r>
      <w:bookmarkEnd w:id="11"/>
    </w:p>
    <w:p>
      <w:pPr>
        <w:spacing w:before="120" w:after="120" w:line="288" w:lineRule="auto"/>
        <w:ind w:left="0"/>
      </w:pPr>
      <w:r>
        <w:object>
          <v:shape id="_x0000_i1026" style="width:414pt;height:197pt;mso-width-percent:0;mso-height-percent:0;mso-width-percent:0;mso-height-percent:0" type="#_x0000_t75" o:ole="">
            <v:imagedata r:id="rId8" o:title=""/>
          </v:shape>
          <o:OLEObject DrawAspect="Icon" ObjectID="_1718471220" ProgID="Excel.Sheet.12" ShapeID="_x0000_i1026" Type="Embed" r:id="rId7"/>
        </w:object>
      </w:r>
    </w:p>
    <w:p>
      <w:pPr>
        <w:spacing w:after="120"/>
        <w:ind w:left="0"/>
        <w:jc w:val="center"/>
      </w:pPr>
      <w:r>
        <w:rPr>
          <w:rFonts w:eastAsia="等线" w:ascii="Arial" w:cs="Arial" w:hAnsi="Arial"/>
          <w:b w:val="true"/>
          <w:sz w:val="22"/>
        </w:rPr>
        <w:t>点击图片可查看完整电子表格</w:t>
      </w:r>
    </w:p>
    <w:p>
      <w:pPr>
        <w:pBdr>
          <w:bottom w:val="single" w:color="dee0e3"/>
          <w:between w:val="single" w:color="dee0e3"/>
        </w:pBdr>
        <w:spacing w:before="120" w:after="120" w:line="288" w:lineRule="auto"/>
        <w:ind w:left="0"/>
      </w:pPr>
    </w:p>
    <w:p>
      <w:pPr>
        <w:pStyle w:val="4"/>
        <w:spacing w:before="260" w:after="120" w:line="288" w:lineRule="auto"/>
        <w:ind w:left="0"/>
        <w:jc w:val="left"/>
        <w:outlineLvl w:val="3"/>
      </w:pPr>
      <w:bookmarkStart w:name="heading_12" w:id="12"/>
      <w:r>
        <w:rPr>
          <w:rFonts w:eastAsia="等线" w:ascii="Arial" w:cs="Arial" w:hAnsi="Arial"/>
          <w:b w:val="true"/>
          <w:sz w:val="28"/>
        </w:rPr>
        <w:t>第三类：AI能力有效性验收</w:t>
      </w:r>
      <w:bookmarkEnd w:id="12"/>
    </w:p>
    <w:p>
      <w:pPr>
        <w:spacing w:before="120" w:after="120" w:line="288" w:lineRule="auto"/>
        <w:ind w:left="0"/>
      </w:pPr>
      <w:r>
        <w:object>
          <v:shape id="_x0000_i1027" style="width:414pt;height:141pt;mso-width-percent:0;mso-height-percent:0;mso-width-percent:0;mso-height-percent:0" type="#_x0000_t75" o:ole="">
            <v:imagedata r:id="rId10" o:title=""/>
          </v:shape>
          <o:OLEObject DrawAspect="Icon" ObjectID="_1718471221" ProgID="Excel.Sheet.12" ShapeID="_x0000_i1027" Type="Embed" r:id="rId9"/>
        </w:object>
      </w:r>
    </w:p>
    <w:p>
      <w:pPr>
        <w:spacing w:after="120"/>
        <w:ind w:left="0"/>
        <w:jc w:val="center"/>
      </w:pPr>
      <w:r>
        <w:rPr>
          <w:rFonts w:eastAsia="等线" w:ascii="Arial" w:cs="Arial" w:hAnsi="Arial"/>
          <w:b w:val="true"/>
          <w:sz w:val="22"/>
        </w:rPr>
        <w:t>点击图片可查看完整电子表格</w:t>
      </w:r>
    </w:p>
    <w:p>
      <w:pPr>
        <w:pBdr>
          <w:bottom w:val="single" w:color="dee0e3"/>
          <w:between w:val="single" w:color="dee0e3"/>
        </w:pBdr>
        <w:spacing w:before="120" w:after="120" w:line="288" w:lineRule="auto"/>
        <w:ind w:left="0"/>
      </w:pPr>
    </w:p>
    <w:p>
      <w:pPr>
        <w:pStyle w:val="4"/>
        <w:spacing w:before="260" w:after="120" w:line="288" w:lineRule="auto"/>
        <w:ind w:left="0"/>
        <w:jc w:val="left"/>
        <w:outlineLvl w:val="3"/>
      </w:pPr>
      <w:bookmarkStart w:name="heading_13" w:id="13"/>
      <w:r>
        <w:rPr>
          <w:rFonts w:eastAsia="等线" w:ascii="Arial" w:cs="Arial" w:hAnsi="Arial"/>
          <w:b w:val="true"/>
          <w:sz w:val="28"/>
        </w:rPr>
        <w:t>第四类：性能与稳定性验收</w:t>
      </w:r>
      <w:bookmarkEnd w:id="13"/>
    </w:p>
    <w:p>
      <w:pPr>
        <w:spacing w:before="120" w:after="120" w:line="288" w:lineRule="auto"/>
        <w:ind w:left="0"/>
      </w:pPr>
      <w:r>
        <w:object>
          <v:shape id="_x0000_i1028" style="width:414pt;height:126pt;mso-width-percent:0;mso-height-percent:0;mso-width-percent:0;mso-height-percent:0" type="#_x0000_t75" o:ole="">
            <v:imagedata r:id="rId12" o:title=""/>
          </v:shape>
          <o:OLEObject DrawAspect="Icon" ObjectID="_1718471222" ProgID="Excel.Sheet.12" ShapeID="_x0000_i1028" Type="Embed" r:id="rId11"/>
        </w:object>
      </w:r>
    </w:p>
    <w:p>
      <w:pPr>
        <w:spacing w:after="120"/>
        <w:ind w:left="0"/>
        <w:jc w:val="center"/>
      </w:pPr>
      <w:r>
        <w:rPr>
          <w:rFonts w:eastAsia="等线" w:ascii="Arial" w:cs="Arial" w:hAnsi="Arial"/>
          <w:b w:val="true"/>
          <w:sz w:val="22"/>
        </w:rPr>
        <w:t>点击图片可查看完整电子表格</w:t>
      </w:r>
    </w:p>
    <w:p>
      <w:pPr>
        <w:pBdr>
          <w:bottom w:val="single" w:color="dee0e3"/>
          <w:between w:val="single" w:color="dee0e3"/>
        </w:pBdr>
        <w:spacing w:before="120" w:after="120" w:line="288" w:lineRule="auto"/>
        <w:ind w:left="0"/>
      </w:pPr>
    </w:p>
    <w:p>
      <w:pPr>
        <w:pStyle w:val="4"/>
        <w:spacing w:before="260" w:after="120" w:line="288" w:lineRule="auto"/>
        <w:ind w:left="0"/>
        <w:jc w:val="left"/>
        <w:outlineLvl w:val="3"/>
      </w:pPr>
      <w:bookmarkStart w:name="heading_14" w:id="14"/>
      <w:r>
        <w:rPr>
          <w:rFonts w:eastAsia="等线" w:ascii="Arial" w:cs="Arial" w:hAnsi="Arial"/>
          <w:b w:val="true"/>
          <w:sz w:val="28"/>
        </w:rPr>
        <w:t>第五类：安全与合规验收</w:t>
      </w:r>
      <w:bookmarkEnd w:id="14"/>
    </w:p>
    <w:p>
      <w:pPr>
        <w:spacing w:before="120" w:after="120" w:line="288" w:lineRule="auto"/>
        <w:ind w:left="0"/>
      </w:pPr>
      <w:r>
        <w:object>
          <v:shape id="_x0000_i1029" style="width:414pt;height:112pt;mso-width-percent:0;mso-height-percent:0;mso-width-percent:0;mso-height-percent:0" type="#_x0000_t75" o:ole="">
            <v:imagedata r:id="rId14" o:title=""/>
          </v:shape>
          <o:OLEObject DrawAspect="Icon" ObjectID="_1718471223" ProgID="Excel.Sheet.12" ShapeID="_x0000_i1029" Type="Embed" r:id="rId13"/>
        </w:object>
      </w:r>
    </w:p>
    <w:p>
      <w:pPr>
        <w:spacing w:after="120"/>
        <w:ind w:left="0"/>
        <w:jc w:val="center"/>
      </w:pPr>
      <w:r>
        <w:rPr>
          <w:rFonts w:eastAsia="等线" w:ascii="Arial" w:cs="Arial" w:hAnsi="Arial"/>
          <w:b w:val="true"/>
          <w:sz w:val="22"/>
        </w:rPr>
        <w:t>点击图片可查看完整电子表格</w:t>
      </w:r>
    </w:p>
    <w:p>
      <w:pPr>
        <w:pBdr>
          <w:bottom w:val="single" w:color="dee0e3"/>
          <w:between w:val="single" w:color="dee0e3"/>
        </w:pBdr>
        <w:spacing w:before="120" w:after="120" w:line="288" w:lineRule="auto"/>
        <w:ind w:left="0"/>
      </w:pPr>
    </w:p>
    <w:p>
      <w:pPr>
        <w:pStyle w:val="4"/>
        <w:spacing w:before="260" w:after="120" w:line="288" w:lineRule="auto"/>
        <w:ind w:left="0"/>
        <w:jc w:val="left"/>
        <w:outlineLvl w:val="3"/>
      </w:pPr>
      <w:bookmarkStart w:name="heading_15" w:id="15"/>
      <w:r>
        <w:rPr>
          <w:rFonts w:eastAsia="等线" w:ascii="Arial" w:cs="Arial" w:hAnsi="Arial"/>
          <w:b w:val="true"/>
          <w:sz w:val="28"/>
        </w:rPr>
        <w:t>第六类：系统集成与扩展性验收</w:t>
      </w:r>
      <w:bookmarkEnd w:id="15"/>
    </w:p>
    <w:p>
      <w:pPr>
        <w:spacing w:before="120" w:after="120" w:line="288" w:lineRule="auto"/>
        <w:ind w:left="0"/>
      </w:pPr>
      <w:r>
        <w:object>
          <v:shape id="_x0000_i1030" style="width:414pt;height:112pt;mso-width-percent:0;mso-height-percent:0;mso-width-percent:0;mso-height-percent:0" type="#_x0000_t75" o:ole="">
            <v:imagedata r:id="rId16" o:title=""/>
          </v:shape>
          <o:OLEObject DrawAspect="Icon" ObjectID="_1718471224" ProgID="Excel.Sheet.12" ShapeID="_x0000_i1030" Type="Embed" r:id="rId15"/>
        </w:object>
      </w:r>
    </w:p>
    <w:p>
      <w:pPr>
        <w:spacing w:after="120"/>
        <w:ind w:left="0"/>
        <w:jc w:val="center"/>
      </w:pPr>
      <w:r>
        <w:rPr>
          <w:rFonts w:eastAsia="等线" w:ascii="Arial" w:cs="Arial" w:hAnsi="Arial"/>
          <w:b w:val="true"/>
          <w:sz w:val="22"/>
        </w:rPr>
        <w:t>点击图片可查看完整电子表格</w:t>
      </w:r>
    </w:p>
    <w:p>
      <w:pPr>
        <w:pBdr>
          <w:bottom w:val="single" w:color="dee0e3"/>
          <w:between w:val="single" w:color="dee0e3"/>
        </w:pBdr>
        <w:spacing w:before="120" w:after="120" w:line="288" w:lineRule="auto"/>
        <w:ind w:left="0"/>
      </w:pPr>
    </w:p>
    <w:p>
      <w:pPr>
        <w:pStyle w:val="3"/>
        <w:spacing w:before="300" w:after="120" w:line="288" w:lineRule="auto"/>
        <w:ind w:left="0"/>
        <w:jc w:val="left"/>
        <w:outlineLvl w:val="2"/>
      </w:pPr>
      <w:bookmarkStart w:name="heading_16" w:id="16"/>
      <w:r>
        <w:rPr>
          <w:rFonts w:eastAsia="等线" w:ascii="Arial" w:cs="Arial" w:hAnsi="Arial"/>
          <w:b w:val="true"/>
          <w:sz w:val="30"/>
        </w:rPr>
        <w:t>验收标准汇总表</w:t>
      </w:r>
      <w:bookmarkEnd w:id="16"/>
    </w:p>
    <w:p>
      <w:pPr>
        <w:spacing w:before="120" w:after="120" w:line="288" w:lineRule="auto"/>
        <w:ind w:left="0"/>
      </w:pPr>
      <w:r>
        <w:object>
          <v:shape id="_x0000_i1031" style="width:414pt;height:147pt;mso-width-percent:0;mso-height-percent:0;mso-width-percent:0;mso-height-percent:0" type="#_x0000_t75" o:ole="">
            <v:imagedata r:id="rId18" o:title=""/>
          </v:shape>
          <o:OLEObject DrawAspect="Icon" ObjectID="_1718471225" ProgID="Excel.Sheet.12" ShapeID="_x0000_i1031" Type="Embed" r:id="rId17"/>
        </w:object>
      </w:r>
    </w:p>
    <w:p>
      <w:pPr>
        <w:spacing w:after="120"/>
        <w:ind w:left="0"/>
        <w:jc w:val="center"/>
      </w:pPr>
      <w:r>
        <w:rPr>
          <w:rFonts w:eastAsia="等线" w:ascii="Arial" w:cs="Arial" w:hAnsi="Arial"/>
          <w:b w:val="true"/>
          <w:sz w:val="22"/>
        </w:rPr>
        <w:t>点击图片可查看完整电子表格</w:t>
      </w:r>
    </w:p>
    <w:p>
      <w:pPr>
        <w:pStyle w:val="2"/>
        <w:spacing w:before="320" w:after="120" w:line="288" w:lineRule="auto"/>
        <w:ind w:left="0"/>
        <w:jc w:val="left"/>
        <w:outlineLvl w:val="1"/>
      </w:pPr>
      <w:bookmarkStart w:name="heading_17" w:id="17"/>
      <w:r>
        <w:rPr>
          <w:rFonts w:eastAsia="等线" w:ascii="Arial" w:cs="Arial" w:hAnsi="Arial"/>
          <w:b w:val="true"/>
          <w:sz w:val="32"/>
        </w:rPr>
        <w:t>六、</w:t>
      </w:r>
      <w:r>
        <w:rPr>
          <w:rFonts w:eastAsia="等线" w:ascii="Arial" w:cs="Arial" w:hAnsi="Arial"/>
          <w:b w:val="true"/>
          <w:sz w:val="32"/>
        </w:rPr>
        <w:t>其他</w:t>
      </w:r>
      <w:r>
        <w:rPr>
          <w:rFonts w:eastAsia="等线" w:ascii="Arial" w:cs="Arial" w:hAnsi="Arial"/>
          <w:b w:val="true"/>
          <w:sz w:val="32"/>
        </w:rPr>
        <w:t>加分项</w:t>
      </w:r>
      <w:bookmarkEnd w:id="17"/>
    </w:p>
    <w:p>
      <w:pPr>
        <w:numPr>
          <w:numId w:val="39"/>
        </w:numPr>
        <w:spacing w:before="120" w:after="120" w:line="288" w:lineRule="auto"/>
        <w:ind w:left="0"/>
        <w:jc w:val="left"/>
      </w:pPr>
      <w:r>
        <w:rPr>
          <w:rFonts w:eastAsia="等线" w:ascii="Arial" w:cs="Arial" w:hAnsi="Arial"/>
          <w:sz w:val="22"/>
        </w:rPr>
        <w:t>提供多语言智能语音外呼及录音转写分析能力。</w:t>
      </w:r>
    </w:p>
    <w:p>
      <w:pPr>
        <w:numPr>
          <w:numId w:val="40"/>
        </w:numPr>
        <w:spacing w:before="120" w:after="120" w:line="288" w:lineRule="auto"/>
        <w:ind w:left="0"/>
        <w:jc w:val="left"/>
      </w:pPr>
      <w:r>
        <w:rPr>
          <w:rFonts w:eastAsia="等线" w:ascii="Arial" w:cs="Arial" w:hAnsi="Arial"/>
          <w:sz w:val="22"/>
        </w:rPr>
        <w:t>具备信用证/远期结汇等外贸金融风险管理模块。</w:t>
      </w:r>
    </w:p>
    <w:p>
      <w:pPr>
        <w:numPr>
          <w:numId w:val="41"/>
        </w:numPr>
        <w:spacing w:before="120" w:after="120" w:line="288" w:lineRule="auto"/>
        <w:ind w:left="0"/>
        <w:jc w:val="left"/>
      </w:pPr>
      <w:r>
        <w:rPr>
          <w:rFonts w:eastAsia="等线" w:ascii="Arial" w:cs="Arial" w:hAnsi="Arial"/>
          <w:sz w:val="22"/>
        </w:rPr>
        <w:t>具备客户流失预测模型的可视化建模能力。</w:t>
      </w:r>
    </w:p>
    <w:p>
      <w:pPr>
        <w:spacing w:before="120" w:after="120" w:line="288" w:lineRule="auto"/>
        <w:ind w:left="0"/>
        <w:jc w:val="left"/>
      </w:pPr>
    </w:p>
    <w:sectPr>
      <w:footerReference w:type="default" r:id="rId3"/>
      <w:headerReference w:type="default" r:id="rId19"/>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xmlns:v="urn:schemas-microsoft-com:vml" xmlns:o="urn:schemas-microsoft-com:office:office">
  <w:p w:rsidP="" w:rsidRDefault="">
    <w:pPr>
      <w:pStyle w:val="Header"/>
    </w:pPr>
    <w:r>
      <w:rPr>
        <w:noProof/>
      </w:rPr>
      <w:pict>
        <v:shapetype id="_x0000_t136" coordsize="1600,21600" o:spt="136.0"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shapetype="t" text="t"/>
        </v:shapetype>
        <v:shape id="PowerPlusWaterMarkObject1" o:spid="_x0000_s1025" type="#_x0000_t136" style="position:absolute;left:0;text-align:left;margin-left:0;margin-top:0;height:24pt;rotation:315;z-index:-251651072;mso-wrap-edited:f;mso-width-percent:0;mso-height-percent:0;mso-position-horizontal:center;mso-position-horizontal-relative:margin;mso-position-vertical:center;mso-position-vertical-relative:margin;mso-width-percent:0;mso-height-percent:0;width:100pt" wrapcoords="616 5068 390 16297 39 16921 -39 17155 7265 17545 7186 17467 -39 17467 18904 17467 10507 17467 8710 17545 18904 17077 18787 16843 18358 16297 18279 12554 19178 12476 20701 11774 20779 11228 21131 10059 21248 8811 21248 7563 20975 6316 20935 5380 19490 5146 14022 5068 2616 5068" fillcolor="black" stroked="false">
          <v:textpath style="font-family:Lantinghei SC Demibold;font-size:20pt" string=" 刘源 5816"/>
          <v:fill opacity="0.3"/>
        </v:shape>
      </w:pict>
    </w:r>
  </w:p>
</w:hdr>
</file>

<file path=word/numbering.xml><?xml version="1.0" encoding="utf-8"?>
<w:numbering xmlns:w="http://schemas.openxmlformats.org/wordprocessingml/2006/main">
  <w:abstractNum w:abstractNumId="467670">
    <w:lvl>
      <w:numFmt w:val="bullet"/>
      <w:suff w:val="tab"/>
      <w:lvlText w:val="•"/>
      <w:rPr>
        <w:color w:val="3370ff"/>
      </w:rPr>
    </w:lvl>
  </w:abstractNum>
  <w:abstractNum w:abstractNumId="467671">
    <w:lvl>
      <w:numFmt w:val="bullet"/>
      <w:suff w:val="tab"/>
      <w:lvlText w:val="•"/>
      <w:rPr>
        <w:color w:val="3370ff"/>
      </w:rPr>
    </w:lvl>
  </w:abstractNum>
  <w:abstractNum w:abstractNumId="467672">
    <w:lvl>
      <w:start w:val="1"/>
      <w:numFmt w:val="decimal"/>
      <w:suff w:val="tab"/>
      <w:lvlText w:val="%1."/>
      <w:rPr>
        <w:color w:val="3370ff"/>
      </w:rPr>
    </w:lvl>
  </w:abstractNum>
  <w:abstractNum w:abstractNumId="467673">
    <w:lvl>
      <w:start w:val="2"/>
      <w:numFmt w:val="decimal"/>
      <w:suff w:val="tab"/>
      <w:lvlText w:val="%1."/>
      <w:rPr>
        <w:color w:val="3370ff"/>
      </w:rPr>
    </w:lvl>
  </w:abstractNum>
  <w:abstractNum w:abstractNumId="467674">
    <w:lvl>
      <w:numFmt w:val="bullet"/>
      <w:suff w:val="tab"/>
      <w:lvlText w:val="￮"/>
      <w:rPr>
        <w:color w:val="3370ff"/>
      </w:rPr>
    </w:lvl>
  </w:abstractNum>
  <w:abstractNum w:abstractNumId="467675">
    <w:lvl>
      <w:numFmt w:val="bullet"/>
      <w:suff w:val="tab"/>
      <w:lvlText w:val="￮"/>
      <w:rPr>
        <w:color w:val="3370ff"/>
      </w:rPr>
    </w:lvl>
  </w:abstractNum>
  <w:abstractNum w:abstractNumId="467676">
    <w:lvl>
      <w:numFmt w:val="bullet"/>
      <w:suff w:val="tab"/>
      <w:lvlText w:val="￮"/>
      <w:rPr>
        <w:color w:val="3370ff"/>
      </w:rPr>
    </w:lvl>
  </w:abstractNum>
  <w:abstractNum w:abstractNumId="467677">
    <w:lvl>
      <w:start w:val="3"/>
      <w:numFmt w:val="decimal"/>
      <w:suff w:val="tab"/>
      <w:lvlText w:val="%1."/>
      <w:rPr>
        <w:color w:val="3370ff"/>
      </w:rPr>
    </w:lvl>
  </w:abstractNum>
  <w:abstractNum w:abstractNumId="467678">
    <w:lvl>
      <w:start w:val="1"/>
      <w:numFmt w:val="decimal"/>
      <w:suff w:val="tab"/>
      <w:lvlText w:val="%1."/>
      <w:rPr>
        <w:color w:val="3370ff"/>
      </w:rPr>
    </w:lvl>
  </w:abstractNum>
  <w:abstractNum w:abstractNumId="467679">
    <w:lvl>
      <w:start w:val="2"/>
      <w:numFmt w:val="decimal"/>
      <w:suff w:val="tab"/>
      <w:lvlText w:val="%1."/>
      <w:rPr>
        <w:color w:val="3370ff"/>
      </w:rPr>
    </w:lvl>
  </w:abstractNum>
  <w:abstractNum w:abstractNumId="467680">
    <w:lvl>
      <w:start w:val="3"/>
      <w:numFmt w:val="decimal"/>
      <w:suff w:val="tab"/>
      <w:lvlText w:val="%1."/>
      <w:rPr>
        <w:color w:val="3370ff"/>
      </w:rPr>
    </w:lvl>
  </w:abstractNum>
  <w:abstractNum w:abstractNumId="467681">
    <w:lvl>
      <w:numFmt w:val="bullet"/>
      <w:suff w:val="tab"/>
      <w:lvlText w:val="￮"/>
      <w:rPr>
        <w:color w:val="3370ff"/>
      </w:rPr>
    </w:lvl>
  </w:abstractNum>
  <w:abstractNum w:abstractNumId="467682">
    <w:lvl>
      <w:numFmt w:val="bullet"/>
      <w:suff w:val="tab"/>
      <w:lvlText w:val="￮"/>
      <w:rPr>
        <w:color w:val="3370ff"/>
      </w:rPr>
    </w:lvl>
  </w:abstractNum>
  <w:abstractNum w:abstractNumId="467683">
    <w:lvl>
      <w:numFmt w:val="bullet"/>
      <w:suff w:val="tab"/>
      <w:lvlText w:val="￮"/>
      <w:rPr>
        <w:color w:val="3370ff"/>
      </w:rPr>
    </w:lvl>
  </w:abstractNum>
  <w:abstractNum w:abstractNumId="467684">
    <w:lvl>
      <w:numFmt w:val="bullet"/>
      <w:suff w:val="tab"/>
      <w:lvlText w:val="▪"/>
      <w:rPr>
        <w:color w:val="3370ff"/>
        <w:sz w:val="11"/>
      </w:rPr>
    </w:lvl>
  </w:abstractNum>
  <w:abstractNum w:abstractNumId="467685">
    <w:lvl>
      <w:numFmt w:val="bullet"/>
      <w:suff w:val="tab"/>
      <w:lvlText w:val="▪"/>
      <w:rPr>
        <w:color w:val="3370ff"/>
        <w:sz w:val="11"/>
      </w:rPr>
    </w:lvl>
  </w:abstractNum>
  <w:abstractNum w:abstractNumId="467686">
    <w:lvl>
      <w:numFmt w:val="bullet"/>
      <w:suff w:val="tab"/>
      <w:lvlText w:val="▪"/>
      <w:rPr>
        <w:color w:val="3370ff"/>
        <w:sz w:val="11"/>
      </w:rPr>
    </w:lvl>
  </w:abstractNum>
  <w:abstractNum w:abstractNumId="467687">
    <w:lvl>
      <w:numFmt w:val="bullet"/>
      <w:suff w:val="tab"/>
      <w:lvlText w:val="￮"/>
      <w:rPr>
        <w:color w:val="3370ff"/>
      </w:rPr>
    </w:lvl>
  </w:abstractNum>
  <w:abstractNum w:abstractNumId="467688">
    <w:lvl>
      <w:numFmt w:val="bullet"/>
      <w:suff w:val="tab"/>
      <w:lvlText w:val="▪"/>
      <w:rPr>
        <w:color w:val="3370ff"/>
        <w:sz w:val="11"/>
      </w:rPr>
    </w:lvl>
  </w:abstractNum>
  <w:abstractNum w:abstractNumId="467689">
    <w:lvl>
      <w:numFmt w:val="bullet"/>
      <w:suff w:val="tab"/>
      <w:lvlText w:val="▪"/>
      <w:rPr>
        <w:color w:val="3370ff"/>
        <w:sz w:val="11"/>
      </w:rPr>
    </w:lvl>
  </w:abstractNum>
  <w:abstractNum w:abstractNumId="467690">
    <w:lvl>
      <w:numFmt w:val="bullet"/>
      <w:suff w:val="tab"/>
      <w:lvlText w:val="￮"/>
      <w:rPr>
        <w:color w:val="3370ff"/>
      </w:rPr>
    </w:lvl>
  </w:abstractNum>
  <w:abstractNum w:abstractNumId="467691">
    <w:lvl>
      <w:start w:val="1"/>
      <w:numFmt w:val="decimal"/>
      <w:suff w:val="tab"/>
      <w:lvlText w:val="%1."/>
      <w:rPr>
        <w:color w:val="3370ff"/>
      </w:rPr>
    </w:lvl>
  </w:abstractNum>
  <w:abstractNum w:abstractNumId="467692">
    <w:lvl>
      <w:start w:val="2"/>
      <w:numFmt w:val="decimal"/>
      <w:suff w:val="tab"/>
      <w:lvlText w:val="%1."/>
      <w:rPr>
        <w:color w:val="3370ff"/>
      </w:rPr>
    </w:lvl>
  </w:abstractNum>
  <w:abstractNum w:abstractNumId="467693">
    <w:lvl>
      <w:start w:val="3"/>
      <w:numFmt w:val="decimal"/>
      <w:suff w:val="tab"/>
      <w:lvlText w:val="%1."/>
      <w:rPr>
        <w:color w:val="3370ff"/>
      </w:rPr>
    </w:lvl>
  </w:abstractNum>
  <w:abstractNum w:abstractNumId="467694">
    <w:lvl>
      <w:start w:val="4"/>
      <w:numFmt w:val="decimal"/>
      <w:suff w:val="tab"/>
      <w:lvlText w:val="%1."/>
      <w:rPr>
        <w:color w:val="3370ff"/>
      </w:rPr>
    </w:lvl>
  </w:abstractNum>
  <w:abstractNum w:abstractNumId="467695">
    <w:lvl>
      <w:start w:val="5"/>
      <w:numFmt w:val="decimal"/>
      <w:suff w:val="tab"/>
      <w:lvlText w:val="%1."/>
      <w:rPr>
        <w:color w:val="3370ff"/>
      </w:rPr>
    </w:lvl>
  </w:abstractNum>
  <w:abstractNum w:abstractNumId="467696">
    <w:lvl>
      <w:numFmt w:val="bullet"/>
      <w:suff w:val="tab"/>
      <w:lvlText w:val="￮"/>
      <w:rPr>
        <w:color w:val="3370ff"/>
      </w:rPr>
    </w:lvl>
  </w:abstractNum>
  <w:abstractNum w:abstractNumId="467697">
    <w:lvl>
      <w:numFmt w:val="bullet"/>
      <w:suff w:val="tab"/>
      <w:lvlText w:val="￮"/>
      <w:rPr>
        <w:color w:val="3370ff"/>
      </w:rPr>
    </w:lvl>
  </w:abstractNum>
  <w:abstractNum w:abstractNumId="467698">
    <w:lvl>
      <w:numFmt w:val="bullet"/>
      <w:suff w:val="tab"/>
      <w:lvlText w:val="￮"/>
      <w:rPr>
        <w:color w:val="3370ff"/>
      </w:rPr>
    </w:lvl>
  </w:abstractNum>
  <w:abstractNum w:abstractNumId="467699">
    <w:lvl>
      <w:numFmt w:val="bullet"/>
      <w:suff w:val="tab"/>
      <w:lvlText w:val="▪"/>
      <w:rPr>
        <w:color w:val="3370ff"/>
        <w:sz w:val="11"/>
      </w:rPr>
    </w:lvl>
  </w:abstractNum>
  <w:abstractNum w:abstractNumId="467700">
    <w:lvl>
      <w:numFmt w:val="bullet"/>
      <w:suff w:val="tab"/>
      <w:lvlText w:val="▪"/>
      <w:rPr>
        <w:color w:val="3370ff"/>
        <w:sz w:val="11"/>
      </w:rPr>
    </w:lvl>
  </w:abstractNum>
  <w:abstractNum w:abstractNumId="467701">
    <w:lvl>
      <w:start w:val="1"/>
      <w:numFmt w:val="decimal"/>
      <w:suff w:val="tab"/>
      <w:lvlText w:val="%1."/>
      <w:rPr>
        <w:color w:val="3370ff"/>
      </w:rPr>
    </w:lvl>
  </w:abstractNum>
  <w:abstractNum w:abstractNumId="467702">
    <w:lvl>
      <w:start w:val="2"/>
      <w:numFmt w:val="decimal"/>
      <w:suff w:val="tab"/>
      <w:lvlText w:val="%1."/>
      <w:rPr>
        <w:color w:val="3370ff"/>
      </w:rPr>
    </w:lvl>
  </w:abstractNum>
  <w:abstractNum w:abstractNumId="467703">
    <w:lvl>
      <w:start w:val="3"/>
      <w:numFmt w:val="decimal"/>
      <w:suff w:val="tab"/>
      <w:lvlText w:val="%1."/>
      <w:rPr>
        <w:color w:val="3370ff"/>
      </w:rPr>
    </w:lvl>
  </w:abstractNum>
  <w:abstractNum w:abstractNumId="467704">
    <w:lvl>
      <w:start w:val="1"/>
      <w:numFmt w:val="decimal"/>
      <w:suff w:val="tab"/>
      <w:lvlText w:val="%1."/>
      <w:rPr>
        <w:color w:val="3370ff"/>
      </w:rPr>
    </w:lvl>
  </w:abstractNum>
  <w:abstractNum w:abstractNumId="467705">
    <w:lvl>
      <w:start w:val="2"/>
      <w:numFmt w:val="decimal"/>
      <w:suff w:val="tab"/>
      <w:lvlText w:val="%1."/>
      <w:rPr>
        <w:color w:val="3370ff"/>
      </w:rPr>
    </w:lvl>
  </w:abstractNum>
  <w:abstractNum w:abstractNumId="467706">
    <w:lvl>
      <w:numFmt w:val="bullet"/>
      <w:suff w:val="tab"/>
      <w:lvlText w:val="•"/>
      <w:rPr>
        <w:color w:val="3370ff"/>
      </w:rPr>
    </w:lvl>
  </w:abstractNum>
  <w:abstractNum w:abstractNumId="467707">
    <w:lvl>
      <w:numFmt w:val="bullet"/>
      <w:suff w:val="tab"/>
      <w:lvlText w:val="•"/>
      <w:rPr>
        <w:color w:val="3370ff"/>
      </w:rPr>
    </w:lvl>
  </w:abstractNum>
  <w:abstractNum w:abstractNumId="467708">
    <w:lvl>
      <w:numFmt w:val="bullet"/>
      <w:suff w:val="tab"/>
      <w:lvlText w:val="•"/>
      <w:rPr>
        <w:color w:val="3370ff"/>
      </w:rPr>
    </w:lvl>
  </w:abstractNum>
  <w:abstractNum w:abstractNumId="467709">
    <w:lvl>
      <w:numFmt w:val="bullet"/>
      <w:suff w:val="tab"/>
      <w:lvlText w:val="•"/>
      <w:rPr>
        <w:color w:val="3370ff"/>
      </w:rPr>
    </w:lvl>
  </w:abstractNum>
  <w:abstractNum w:abstractNumId="467710">
    <w:lvl>
      <w:numFmt w:val="bullet"/>
      <w:suff w:val="tab"/>
      <w:lvlText w:val="•"/>
      <w:rPr>
        <w:color w:val="3370ff"/>
      </w:rPr>
    </w:lvl>
  </w:abstractNum>
  <w:num w:numId="1">
    <w:abstractNumId w:val="467670"/>
  </w:num>
  <w:num w:numId="2">
    <w:abstractNumId w:val="467671"/>
  </w:num>
  <w:num w:numId="3">
    <w:abstractNumId w:val="467672"/>
  </w:num>
  <w:num w:numId="4">
    <w:abstractNumId w:val="467673"/>
  </w:num>
  <w:num w:numId="5">
    <w:abstractNumId w:val="467674"/>
  </w:num>
  <w:num w:numId="6">
    <w:abstractNumId w:val="467675"/>
  </w:num>
  <w:num w:numId="7">
    <w:abstractNumId w:val="467676"/>
  </w:num>
  <w:num w:numId="8">
    <w:abstractNumId w:val="467677"/>
  </w:num>
  <w:num w:numId="9">
    <w:abstractNumId w:val="467678"/>
  </w:num>
  <w:num w:numId="10">
    <w:abstractNumId w:val="467679"/>
  </w:num>
  <w:num w:numId="11">
    <w:abstractNumId w:val="467680"/>
  </w:num>
  <w:num w:numId="12">
    <w:abstractNumId w:val="467681"/>
  </w:num>
  <w:num w:numId="13">
    <w:abstractNumId w:val="467682"/>
  </w:num>
  <w:num w:numId="14">
    <w:abstractNumId w:val="467683"/>
  </w:num>
  <w:num w:numId="15">
    <w:abstractNumId w:val="467684"/>
  </w:num>
  <w:num w:numId="16">
    <w:abstractNumId w:val="467685"/>
  </w:num>
  <w:num w:numId="17">
    <w:abstractNumId w:val="467686"/>
  </w:num>
  <w:num w:numId="18">
    <w:abstractNumId w:val="467687"/>
  </w:num>
  <w:num w:numId="19">
    <w:abstractNumId w:val="467688"/>
  </w:num>
  <w:num w:numId="20">
    <w:abstractNumId w:val="467689"/>
  </w:num>
  <w:num w:numId="21">
    <w:abstractNumId w:val="467690"/>
  </w:num>
  <w:num w:numId="22">
    <w:abstractNumId w:val="467691"/>
  </w:num>
  <w:num w:numId="23">
    <w:abstractNumId w:val="467692"/>
  </w:num>
  <w:num w:numId="24">
    <w:abstractNumId w:val="467693"/>
  </w:num>
  <w:num w:numId="25">
    <w:abstractNumId w:val="467694"/>
  </w:num>
  <w:num w:numId="26">
    <w:abstractNumId w:val="467695"/>
  </w:num>
  <w:num w:numId="27">
    <w:abstractNumId w:val="467696"/>
  </w:num>
  <w:num w:numId="28">
    <w:abstractNumId w:val="467697"/>
  </w:num>
  <w:num w:numId="29">
    <w:abstractNumId w:val="467698"/>
  </w:num>
  <w:num w:numId="30">
    <w:abstractNumId w:val="467699"/>
  </w:num>
  <w:num w:numId="31">
    <w:abstractNumId w:val="467700"/>
  </w:num>
  <w:num w:numId="32">
    <w:abstractNumId w:val="467701"/>
  </w:num>
  <w:num w:numId="33">
    <w:abstractNumId w:val="467702"/>
  </w:num>
  <w:num w:numId="34">
    <w:abstractNumId w:val="467703"/>
  </w:num>
  <w:num w:numId="35">
    <w:abstractNumId w:val="467704"/>
  </w:num>
  <w:num w:numId="36">
    <w:abstractNumId w:val="467705"/>
  </w:num>
  <w:num w:numId="37">
    <w:abstractNumId w:val="467706"/>
  </w:num>
  <w:num w:numId="38">
    <w:abstractNumId w:val="467707"/>
  </w:num>
  <w:num w:numId="39">
    <w:abstractNumId w:val="467708"/>
  </w:num>
  <w:num w:numId="40">
    <w:abstractNumId w:val="467709"/>
  </w:num>
  <w:num w:numId="41">
    <w:abstractNumId w:val="467710"/>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3.png" Type="http://schemas.openxmlformats.org/officeDocument/2006/relationships/image"/><Relationship Id="rId11" Target="embeddings/Microsoft_Excel_Worksheet4.xlsx" Type="http://schemas.openxmlformats.org/officeDocument/2006/relationships/package"/><Relationship Id="rId12" Target="media/image4.png" Type="http://schemas.openxmlformats.org/officeDocument/2006/relationships/image"/><Relationship Id="rId13" Target="embeddings/Microsoft_Excel_Worksheet5.xlsx" Type="http://schemas.openxmlformats.org/officeDocument/2006/relationships/package"/><Relationship Id="rId14" Target="media/image5.png" Type="http://schemas.openxmlformats.org/officeDocument/2006/relationships/image"/><Relationship Id="rId15" Target="embeddings/Microsoft_Excel_Worksheet6.xlsx" Type="http://schemas.openxmlformats.org/officeDocument/2006/relationships/package"/><Relationship Id="rId16" Target="media/image6.png" Type="http://schemas.openxmlformats.org/officeDocument/2006/relationships/image"/><Relationship Id="rId17" Target="embeddings/Microsoft_Excel_Worksheet7.xlsx" Type="http://schemas.openxmlformats.org/officeDocument/2006/relationships/package"/><Relationship Id="rId18" Target="media/image7.png"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embeddings/Microsoft_Excel_Worksheet1.xlsx" Type="http://schemas.openxmlformats.org/officeDocument/2006/relationships/package"/><Relationship Id="rId6" Target="media/image1.png" Type="http://schemas.openxmlformats.org/officeDocument/2006/relationships/image"/><Relationship Id="rId7" Target="embeddings/Microsoft_Excel_Worksheet2.xlsx" Type="http://schemas.openxmlformats.org/officeDocument/2006/relationships/package"/><Relationship Id="rId8" Target="media/image2.png" Type="http://schemas.openxmlformats.org/officeDocument/2006/relationships/image"/><Relationship Id="rId9" Target="embeddings/Microsoft_Excel_Worksheet3.xlsx" Type="http://schemas.openxmlformats.org/officeDocument/2006/relationships/pack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2026-04-13T09:16:42Z</dcterms:created>
  <dc:creator>Apache POI</dc:creator>
</cp:coreProperties>
</file>